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171"/>
        <w:pBdr/>
        <w:shd w:val="clear" w:color="auto" w:fill="ffffff"/>
        <w:tabs>
          <w:tab w:val="clear" w:leader="none" w:pos="708"/>
          <w:tab w:val="left" w:leader="none" w:pos="3148"/>
          <w:tab w:val="center" w:leader="none" w:pos="4818"/>
          <w:tab w:val="left" w:leader="none" w:pos="6926"/>
        </w:tabs>
        <w:spacing w:line="240" w:lineRule="auto"/>
        <w:ind w:right="0" w:firstLine="0" w:left="0"/>
        <w:jc w:val="center"/>
        <w:rPr/>
      </w:pPr>
      <w:r>
        <w:rPr>
          <w:b/>
          <w:bCs/>
          <w:color w:val="000000"/>
          <w:sz w:val="24"/>
          <w:szCs w:val="24"/>
        </w:rPr>
        <w:t xml:space="preserve">Договор подряда № ОТНЗИС/РМ/_____</w:t>
      </w:r>
      <w:r/>
    </w:p>
    <w:p>
      <w:pPr>
        <w:pStyle w:val="1171"/>
        <w:pBdr/>
        <w:shd w:val="clear" w:color="auto" w:fill="ffffff"/>
        <w:spacing w:line="240" w:lineRule="auto"/>
        <w:ind w:right="0" w:firstLine="0" w:left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1171"/>
        <w:pBdr/>
        <w:shd w:val="clear" w:color="auto" w:fill="ffffff"/>
        <w:tabs>
          <w:tab w:val="clear" w:leader="none" w:pos="708"/>
          <w:tab w:val="right" w:leader="none" w:pos="993"/>
        </w:tabs>
        <w:spacing w:line="240" w:lineRule="auto"/>
        <w:ind w:right="0" w:firstLine="0" w:left="0"/>
        <w:rPr/>
      </w:pPr>
      <w:r>
        <w:rPr>
          <w:bCs/>
          <w:color w:val="000000"/>
          <w:sz w:val="24"/>
          <w:szCs w:val="24"/>
        </w:rPr>
        <w:t xml:space="preserve">г. Якутск</w:t>
        <w:tab/>
        <w:tab/>
        <w:tab/>
        <w:tab/>
        <w:tab/>
        <w:tab/>
        <w:t xml:space="preserve">                                                «___» _________ 20__ г.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right" w:leader="none" w:pos="9639"/>
        </w:tabs>
        <w:spacing w:line="240" w:lineRule="auto"/>
        <w:ind w:right="0" w:firstLine="0" w:left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216"/>
        <w:pBdr/>
        <w:spacing/>
        <w:ind w:right="0" w:firstLine="567" w:left="0"/>
        <w:rPr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Семеновича, действующего на основании Устава, с одной стороны, и</w:t>
      </w:r>
      <w:r/>
    </w:p>
    <w:p>
      <w:pPr>
        <w:pStyle w:val="1216"/>
        <w:pBdr/>
        <w:spacing/>
        <w:ind w:right="0" w:firstLine="567" w:left="0"/>
        <w:rPr/>
      </w:pPr>
      <w:r>
        <w:rPr>
          <w:color w:val="auto"/>
        </w:rPr>
        <w:t xml:space="preserve">________________________ (далее – «Подрядчик»), в лице ________________, действующего на основании ______________, с другой стороны,</w:t>
      </w:r>
      <w:r/>
    </w:p>
    <w:p>
      <w:pPr>
        <w:pStyle w:val="1216"/>
        <w:pBdr/>
        <w:spacing/>
        <w:ind w:right="0" w:firstLine="567" w:left="0"/>
        <w:rPr/>
      </w:pPr>
      <w:r>
        <w:rPr>
          <w:color w:val="auto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lightGray"/>
        </w:rPr>
        <w:t xml:space="preserve">по результатам проведенной Заказчиком конкурентной процедуры по лоту №_________</w:t>
      </w:r>
      <w:r>
        <w:rPr>
          <w:bCs/>
          <w:color w:val="auto"/>
          <w:highlight w:val="lightGray"/>
        </w:rPr>
        <w:t xml:space="preserve">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 xml:space="preserve"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Протокола о результатах </w:t>
      </w:r>
      <w:r>
        <w:rPr>
          <w:bCs/>
          <w:color w:val="auto"/>
          <w:highlight w:val="lightGray"/>
          <w:lang w:val="ru-RU"/>
        </w:rPr>
        <w:t xml:space="preserve">__________</w:t>
      </w:r>
      <w:r>
        <w:rPr>
          <w:bCs/>
          <w:color w:val="auto"/>
          <w:highlight w:val="lightGray"/>
        </w:rPr>
        <w:t xml:space="preserve"> №_______ от «___»__________ года</w:t>
      </w:r>
      <w:r>
        <w:rPr>
          <w:bCs/>
          <w:color w:val="auto"/>
          <w:highlight w:val="lightGray"/>
          <w:lang w:val="ru-RU"/>
        </w:rPr>
        <w:t xml:space="preserve">,</w:t>
      </w:r>
      <w:r/>
    </w:p>
    <w:p>
      <w:pPr>
        <w:pStyle w:val="1216"/>
        <w:pBdr/>
        <w:spacing/>
        <w:ind w:right="0" w:firstLine="567" w:left="0"/>
        <w:rPr/>
      </w:pPr>
      <w:r>
        <w:rPr>
          <w:color w:val="auto"/>
        </w:rPr>
        <w:t xml:space="preserve">заключили настоящий договор (далее – «Договор») о нижеследующем:</w:t>
      </w:r>
      <w:r/>
    </w:p>
    <w:p>
      <w:pPr>
        <w:pStyle w:val="1216"/>
        <w:pBdr/>
        <w:spacing/>
        <w:ind w:right="0" w:firstLine="567" w:left="0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229"/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Термины и определения</w:t>
      </w:r>
      <w:r/>
    </w:p>
    <w:p>
      <w:pPr>
        <w:pStyle w:val="1216"/>
        <w:pBdr/>
        <w:spacing/>
        <w:ind w:right="0" w:firstLine="567" w:left="0"/>
        <w:rPr/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/>
    </w:p>
    <w:p>
      <w:pPr>
        <w:pStyle w:val="1229"/>
        <w:pBdr/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/>
    </w:p>
    <w:p>
      <w:pPr>
        <w:pStyle w:val="1171"/>
        <w:pBdr/>
        <w:spacing w:line="240" w:lineRule="auto"/>
        <w:ind w:right="0" w:firstLine="567" w:left="0"/>
        <w:rPr/>
      </w:pPr>
      <w:r>
        <w:rPr>
          <w:b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 xml:space="preserve">Постановлением Госкомстата РФ от 21.01.2003 № 7.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>
          <w:highlight w:val="none"/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</w:t>
      </w:r>
      <w:r>
        <w:rPr>
          <w:highlight w:val="lightGray"/>
          <w:lang w:eastAsia="en-US"/>
        </w:rPr>
        <w:t xml:space="preserve">, а также фактическое исполнение проектных решений в процессе выполнения Работ по Договору</w:t>
      </w:r>
      <w:r>
        <w:rPr>
          <w:lang w:eastAsia="en-US"/>
        </w:rPr>
        <w:t xml:space="preserve">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К Исполнительной документации относятся: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Общий журнал работ</w:t>
      </w:r>
      <w:r>
        <w:rPr>
          <w:lang w:val="en-US" w:eastAsia="en-US"/>
        </w:rPr>
        <w:t xml:space="preserve">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освидетельствования скрытых работ</w:t>
      </w:r>
      <w:r>
        <w:rPr>
          <w:lang w:val="en-US" w:eastAsia="en-US"/>
        </w:rPr>
        <w:t xml:space="preserve">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промежуточной приемки ответственных конструкций;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испытаний и опробования оборудования, систем и устройств;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Результаты экспертиз, обследований в ходе выполнения работ;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приемки инженерных систем</w:t>
      </w:r>
      <w:r>
        <w:rPr>
          <w:lang w:val="en-US" w:eastAsia="en-US"/>
        </w:rPr>
        <w:t xml:space="preserve">;</w:t>
      </w:r>
      <w:r/>
    </w:p>
    <w:p>
      <w:pPr>
        <w:pStyle w:val="1229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другие документы по усмотрению Сторон с учетом специфики Работ.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</w:t>
      </w:r>
      <w:r>
        <w:rPr>
          <w:b w:val="0"/>
          <w:sz w:val="24"/>
          <w:szCs w:val="24"/>
          <w:lang w:val="ru-RU" w:eastAsia="en-US"/>
        </w:rPr>
        <w:t xml:space="preserve">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</w:t>
      </w:r>
      <w:r>
        <w:rPr>
          <w:b w:val="0"/>
          <w:sz w:val="24"/>
          <w:szCs w:val="24"/>
          <w:lang w:val="ru-RU" w:eastAsia="en-US"/>
        </w:rPr>
        <w:t xml:space="preserve">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К Приемо-сдаточной документации относятся:</w:t>
      </w:r>
      <w:r/>
    </w:p>
    <w:p>
      <w:pPr>
        <w:pStyle w:val="1229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/>
    </w:p>
    <w:p>
      <w:pPr>
        <w:pStyle w:val="1229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/>
    </w:p>
    <w:p>
      <w:pPr>
        <w:pStyle w:val="1229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/>
    </w:p>
    <w:p>
      <w:pPr>
        <w:pStyle w:val="1229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ресурсов, инструмента),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</w:t>
      </w:r>
      <w:r>
        <w:rPr>
          <w:b w:val="0"/>
          <w:sz w:val="24"/>
          <w:szCs w:val="24"/>
          <w:lang w:eastAsia="ru-RU"/>
        </w:rPr>
        <w:t xml:space="preserve">езультат</w:t>
      </w:r>
      <w:r>
        <w:rPr>
          <w:b w:val="0"/>
          <w:sz w:val="24"/>
          <w:szCs w:val="24"/>
          <w:lang w:val="ru-RU" w:eastAsia="ru-RU"/>
        </w:rPr>
        <w:t xml:space="preserve"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/>
    </w:p>
    <w:p>
      <w:pPr>
        <w:pStyle w:val="1171"/>
        <w:widowControl w:val="false"/>
        <w:pBdr/>
        <w:tabs>
          <w:tab w:val="left" w:leader="none" w:pos="567"/>
          <w:tab w:val="clear" w:leader="none" w:pos="708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/>
    </w:p>
    <w:p>
      <w:pPr>
        <w:pStyle w:val="1171"/>
        <w:widowControl w:val="false"/>
        <w:pBdr/>
        <w:tabs>
          <w:tab w:val="left" w:leader="none" w:pos="567"/>
          <w:tab w:val="clear" w:leader="none" w:pos="708"/>
        </w:tabs>
        <w:spacing w:line="240" w:lineRule="auto"/>
        <w:ind w:right="0" w:firstLine="567" w:left="0"/>
        <w:rPr/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требовании (Приложение № 1 к Договору).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но в соответствии с технологией их проведени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я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rFonts w:eastAsia="Calibri" w:eastAsiaTheme="minorHAnsi"/>
          <w:b/>
          <w:bCs/>
          <w:sz w:val="24"/>
          <w:szCs w:val="24"/>
          <w:lang w:val="ru-RU" w:eastAsia="en-US"/>
        </w:rPr>
        <w:t xml:space="preserve">«Строительная площадка»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="Calibri" w:eastAsiaTheme="minorHAnsi"/>
          <w:b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– предоставляемая Подрядчику по акту для выполнения Работ территория в месте выполнения Работ, расположенном по адресу: </w:t>
      </w:r>
      <w:r>
        <w:rPr>
          <w:rFonts w:eastAsia="Calibri" w:eastAsiaTheme="minorHAnsi"/>
          <w:b w:val="0"/>
          <w:bCs/>
          <w:sz w:val="24"/>
          <w:szCs w:val="24"/>
          <w:highlight w:val="lightGray"/>
          <w:lang w:val="ru-RU" w:eastAsia="en-US"/>
        </w:rPr>
        <w:t xml:space="preserve">______________________.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/>
    </w:p>
    <w:p>
      <w:pPr>
        <w:pStyle w:val="1174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«Техническое требование»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/>
    </w:p>
    <w:p>
      <w:pPr>
        <w:pStyle w:val="1174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b/>
          <w:bCs/>
          <w:sz w:val="24"/>
          <w:szCs w:val="24"/>
          <w:lang w:val="ru-RU" w:eastAsia="en-US"/>
        </w:rPr>
      </w:r>
      <w:r>
        <w:rPr>
          <w:b/>
          <w:bCs/>
          <w:sz w:val="24"/>
          <w:szCs w:val="24"/>
          <w:lang w:val="ru-RU" w:eastAsia="en-US"/>
        </w:rPr>
        <w:t xml:space="preserve">«Универсальный передаточный документ (УПД)» – </w:t>
      </w:r>
      <w:r>
        <w:rPr>
          <w:b w:val="0"/>
          <w:bCs w:val="0"/>
          <w:sz w:val="24"/>
          <w:szCs w:val="24"/>
          <w:lang w:val="ru-RU" w:eastAsia="en-US"/>
        </w:rPr>
        <w:t xml:space="preserve">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b/>
          <w:bCs/>
          <w:sz w:val="24"/>
          <w:szCs w:val="24"/>
          <w:lang w:val="ru-RU" w:eastAsia="en-US"/>
        </w:rPr>
      </w:r>
      <w:r/>
    </w:p>
    <w:p>
      <w:pPr>
        <w:pStyle w:val="1174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</w:t>
      </w:r>
      <w:r>
        <w:rPr>
          <w:b w:val="0"/>
          <w:sz w:val="24"/>
          <w:szCs w:val="24"/>
          <w:lang w:val="ru-RU" w:eastAsia="en-US"/>
        </w:rPr>
        <w:t xml:space="preserve">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Договора.</w:t>
      </w:r>
      <w:r/>
    </w:p>
    <w:p>
      <w:pPr>
        <w:pStyle w:val="1171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/>
      <w:r/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Предмет Договора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4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1 к Договору) выполнить работы по</w:t>
      </w:r>
      <w:r>
        <w:rPr>
          <w:bCs/>
          <w:i/>
          <w:highlight w:val="none"/>
        </w:rPr>
        <w:t xml:space="preserve"> </w:t>
      </w:r>
      <w:r>
        <w:rPr>
          <w:bCs/>
          <w:i/>
          <w:highlight w:val="lightGray"/>
        </w:rPr>
        <w:t xml:space="preserve">текущему ремонту _____________]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/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Объем Работ по Договору определяется Техническим требованием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Работы по Договору выполняются для нужд </w:t>
      </w:r>
      <w:r>
        <w:rPr>
          <w:bCs/>
          <w:highlight w:val="lightGray"/>
        </w:rPr>
        <w:t xml:space="preserve">_________________</w:t>
      </w:r>
      <w:r>
        <w:rPr>
          <w:bCs/>
        </w:rPr>
        <w:t xml:space="preserve">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Место выполнения Работ: </w:t>
      </w:r>
      <w:r>
        <w:rPr>
          <w:bCs/>
          <w:highlight w:val="lightGray"/>
        </w:rPr>
        <w:t xml:space="preserve">_______________</w:t>
      </w:r>
      <w:r>
        <w:t xml:space="preserve">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5" w:name="_Ref361320424"/>
      <w:r>
        <w:rPr>
          <w:bCs/>
        </w:rPr>
        <w:t xml:space="preserve">Работы выполняются Подрядчиком в следующие сроки:</w:t>
      </w:r>
      <w:bookmarkEnd w:id="5"/>
      <w:r/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 xml:space="preserve">«_____» _________ 20 __ г. / с даты, следующей за датой заключения Договора</w:t>
      </w:r>
      <w:r>
        <w:t xml:space="preserve">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 xml:space="preserve">«_____» _________ 20__ г. / __________________ месяцев с даты, следующей за датой начала выполнения Работ по Договору</w:t>
      </w:r>
      <w:r>
        <w:t xml:space="preserve">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Работы, указанные в </w:t>
      </w:r>
      <w:r>
        <w:t xml:space="preserve">пункте 1.1</w:t>
      </w:r>
      <w:r>
        <w:rPr>
          <w:bCs/>
        </w:rPr>
        <w:t xml:space="preserve"> Договора, подлежат выполнению в отношении следующего Объекта:</w:t>
      </w:r>
      <w:r/>
    </w:p>
    <w:p>
      <w:pPr>
        <w:pStyle w:val="1229"/>
        <w:numPr>
          <w:ilvl w:val="0"/>
          <w:numId w:val="62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инв: ________________.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71"/>
        <w:widowControl w:val="false"/>
        <w:pBdr/>
        <w:shd w:val="clear" w:color="auto" w:fill="ffffff"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Права и обязанности Сторон 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течение </w:t>
      </w:r>
      <w:r>
        <w:rPr>
          <w:bCs/>
          <w:highlight w:val="lightGray"/>
        </w:rPr>
        <w:t xml:space="preserve">3 (трех)</w:t>
      </w:r>
      <w:r>
        <w:rPr>
          <w:bCs/>
        </w:rPr>
        <w:t xml:space="preserve">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pStyle w:val="1229"/>
        <w:numPr>
          <w:ilvl w:val="0"/>
          <w:numId w:val="10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место производства Работ, </w:t>
      </w:r>
      <w:r>
        <w:rPr>
          <w:highlight w:val="lightGray"/>
        </w:rPr>
        <w:t xml:space="preserve">место (помещение) для складирования Материально-технических ресурсов</w:t>
      </w:r>
      <w:r>
        <w:t xml:space="preserve">,</w:t>
      </w:r>
      <w:r>
        <w:t xml:space="preserve"> по соответствующим актам сдачи-приемки (Приложение № 3.1 к Договору);</w:t>
      </w:r>
      <w:r/>
    </w:p>
    <w:p>
      <w:pPr>
        <w:pStyle w:val="1229"/>
        <w:numPr>
          <w:ilvl w:val="0"/>
          <w:numId w:val="10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техническую и иную документацию, указанную в Техническом требовании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№3.2 к Договору);</w:t>
      </w:r>
      <w:r/>
    </w:p>
    <w:p>
      <w:pPr>
        <w:pStyle w:val="1250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При наличии технической возможности и соответствующих ресурсов обеспечить Подрядчика коммунальны</w:t>
      </w:r>
      <w:r>
        <w:rPr>
          <w:rFonts w:ascii="Times New Roman" w:hAnsi="Times New Roman"/>
          <w:sz w:val="24"/>
          <w:szCs w:val="24"/>
        </w:rPr>
        <w:t xml:space="preserve">ми </w:t>
      </w:r>
      <w:r>
        <w:rPr>
          <w:rFonts w:ascii="Times New Roman" w:hAnsi="Times New Roman"/>
          <w:sz w:val="24"/>
          <w:szCs w:val="24"/>
        </w:rPr>
        <w:t xml:space="preserve">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требованием (Приложение № 1 к Договору).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требовании (Приложение № 1 к Договору), осуществляется без дополнительной оплаты в соответствии с Порядком пре</w:t>
      </w:r>
      <w:r>
        <w:rPr>
          <w:sz w:val="24"/>
          <w:szCs w:val="24"/>
        </w:rPr>
        <w:t xml:space="preserve">доставления ресурсов и оказания Заказчиком услуг, необходимых для исполнения Подрядчиком обязательств по Договору (Приложение № 6 к Договору). Предоставленные Заказчиком ресурсы и услуги используются Подрядчиком в целях исполнения обязательств по Договору.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1229"/>
        <w:numPr>
          <w:ilvl w:val="2"/>
          <w:numId w:val="4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Производить освидетельствование (приемку) Скрытых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Выполнять иные обязанности, предусмотренные Договором.</w:t>
      </w:r>
      <w:r/>
    </w:p>
    <w:p>
      <w:pPr>
        <w:pStyle w:val="1171"/>
        <w:pBdr/>
        <w:tabs>
          <w:tab w:val="clear" w:leader="none" w:pos="708"/>
          <w:tab w:val="left" w:leader="none" w:pos="709"/>
        </w:tabs>
        <w:spacing w:line="240" w:lineRule="auto"/>
        <w:ind w:right="0" w:firstLine="567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rPr>
          <w:bCs/>
        </w:rPr>
        <w:t xml:space="preserve">осуществлять осмотр такого помещения по первому требованию и в присутствии представителя Подрядчика.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</w:t>
      </w:r>
      <w:r>
        <w:rPr>
          <w:bCs/>
        </w:rPr>
        <w:t xml:space="preserve">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требования,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/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0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/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1" w:name="_Ref361319348"/>
      <w:r>
        <w:rPr>
          <w:bCs/>
        </w:rPr>
        <w:t xml:space="preserve">Вносить изменения в Техническое требование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/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/>
    </w:p>
    <w:p>
      <w:pPr>
        <w:pStyle w:val="1229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</w:t>
      </w:r>
      <w:r/>
    </w:p>
    <w:p>
      <w:pPr>
        <w:pStyle w:val="1229"/>
        <w:numPr>
          <w:ilvl w:val="0"/>
          <w:numId w:val="20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место производства Работ,</w:t>
      </w:r>
      <w:r>
        <w:rPr>
          <w:bCs/>
          <w:color w:val="ff0000"/>
        </w:rPr>
        <w:t xml:space="preserve"> </w:t>
      </w:r>
      <w:r>
        <w:rPr>
          <w:bCs/>
          <w:highlight w:val="lightGray"/>
        </w:rPr>
        <w:t xml:space="preserve">место (помещение) для складирования Материально-технических ресурсов</w:t>
      </w:r>
      <w:r>
        <w:rPr>
          <w:bCs/>
        </w:rPr>
        <w:t xml:space="preserve"> по соответствующим актам сдачи-приемки (Приложение № 3.1 к Договору);</w:t>
      </w:r>
      <w:r/>
    </w:p>
    <w:p>
      <w:pPr>
        <w:pStyle w:val="1229"/>
        <w:numPr>
          <w:ilvl w:val="0"/>
          <w:numId w:val="20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техническую и иную документацию, указанную в Техническом требовании (Приложение № 1 к Договору) по Акту сдачи-приемки технической и иной документации (Приложение № 3.2 к Договору);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При приемке места производства Работ, </w:t>
      </w:r>
      <w:r>
        <w:rPr>
          <w:bCs/>
          <w:highlight w:val="lightGray"/>
        </w:rPr>
        <w:t xml:space="preserve">места (помещения) для складирования Материально-технических ресурсов</w:t>
      </w:r>
      <w:r>
        <w:t xml:space="preserve">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невыполнения данной обязанност</w:t>
      </w:r>
      <w:r>
        <w:rPr>
          <w:bCs/>
        </w:rP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</w:t>
      </w:r>
      <w:r>
        <w:rPr>
          <w:bCs/>
          <w:highlight w:val="lightGray"/>
        </w:rPr>
        <w:t xml:space="preserve">5 (пяти)</w:t>
      </w:r>
      <w:r>
        <w:rPr>
          <w:bCs/>
        </w:rPr>
        <w:t xml:space="preserve"> рабочих дней с даты принятия её по Акту сдачи-приемки техни</w:t>
      </w:r>
      <w:r>
        <w:rPr>
          <w:bCs/>
        </w:rPr>
        <w:t xml:space="preserve">ческой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</w:t>
      </w:r>
      <w:r>
        <w:rPr>
          <w:bCs/>
        </w:rPr>
        <w:t xml:space="preserve">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До фактического начала выполнения Работ предоставить Заказчику:</w:t>
      </w:r>
      <w:r/>
    </w:p>
    <w:p>
      <w:pPr>
        <w:pStyle w:val="1229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/>
    </w:p>
    <w:p>
      <w:pPr>
        <w:pStyle w:val="1229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/>
    </w:p>
    <w:p>
      <w:pPr>
        <w:pStyle w:val="1229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3.1 к Договору) в соответствии с пунктами 2.1.2 и 2.1.3 Договора.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</w:t>
      </w:r>
      <w:r>
        <w:rPr>
          <w:bCs/>
        </w:rPr>
        <w:t xml:space="preserve">, а также возврат их Заказчику в первоначальном состоянии с учетом естественного износа не позднее да</w:t>
      </w:r>
      <w:r>
        <w:rPr>
          <w:bCs/>
        </w:rPr>
        <w:t xml:space="preserve">ты окончания выполнения Работ, указанной в пункте 1.5.2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Приложении № 4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bCs/>
        </w:rPr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rPr>
          <w:bCs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</w:t>
      </w:r>
      <w:r>
        <w:rPr>
          <w:bCs/>
        </w:rPr>
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</w:t>
      </w:r>
      <w:r/>
    </w:p>
    <w:p>
      <w:pPr>
        <w:pStyle w:val="1229"/>
        <w:pBdr/>
        <w:shd w:val="clear" w:color="auto" w:fill="ffffff"/>
        <w:spacing/>
        <w:ind w:right="0" w:firstLine="567" w:left="0"/>
        <w:jc w:val="both"/>
        <w:rPr/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 </w:t>
      </w:r>
      <w:r>
        <w:rPr>
          <w:bCs/>
        </w:rPr>
        <w:t xml:space="preserve">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 xml:space="preserve">образовавшийся в ходе выполнения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4"/>
          <w:szCs w:val="24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Подрядчик </w:t>
      </w:r>
      <w:r>
        <w:rPr>
          <w:bCs/>
          <w:sz w:val="24"/>
          <w:szCs w:val="24"/>
        </w:rPr>
        <w:t xml:space="preserve">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2.3.21.1 Договора.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2.3.21.1 Договора.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229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r/>
    </w:p>
    <w:p>
      <w:pPr>
        <w:pStyle w:val="1229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1229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pStyle w:val="1229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Невыполнение Подрядчиком требований пункта 2.3.21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аварии – в течение 2 (двух) часов;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229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Нести риск случайной гибели и случайного повреждения мест (помещений)</w:t>
      </w:r>
      <w:r>
        <w:t xml:space="preserve">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 3.1</w:t>
      </w:r>
      <w:r>
        <w:t xml:space="preserve"> к Договору).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Письменно уведомлять Заказчика о необходимости проведения освидетельствования и/или приемки Скрытых работ.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rPr>
          <w:highlight w:val="lightGray"/>
        </w:rPr>
        <w:t xml:space="preserve">5 (пять)</w:t>
      </w:r>
      <w:r>
        <w:rPr>
          <w:bCs/>
        </w:rPr>
        <w:t xml:space="preserve"> рабочих дней до начала освидетельствования. </w:t>
      </w:r>
      <w:r>
        <w:rPr>
          <w:bCs/>
        </w:rPr>
        <w:t xml:space="preserve">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</w:t>
      </w:r>
      <w:r>
        <w:rPr>
          <w:bCs/>
        </w:rPr>
        <w:t xml:space="preserve">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Осуществлять мероприятия строительного контроля, возложе</w:t>
      </w:r>
      <w:r>
        <w:rPr>
          <w:bCs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Освободить Заказчика от л</w:t>
      </w:r>
      <w:r>
        <w:rPr>
          <w:bCs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/>
    </w:p>
    <w:p>
      <w:pPr>
        <w:pStyle w:val="1229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pStyle w:val="1171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Самостоятельно организовать выполнение Работ.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851"/>
        </w:tabs>
        <w:spacing/>
        <w:ind w:right="0" w:firstLine="567" w:left="0"/>
        <w:jc w:val="both"/>
        <w:rPr/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более чем на</w:t>
      </w:r>
      <w:r>
        <w:rPr>
          <w:bCs/>
          <w:sz w:val="24"/>
          <w:szCs w:val="24"/>
          <w:shd w:val="clear" w:color="auto" w:fill="ffdbb6"/>
        </w:rPr>
        <w:t xml:space="preserve">__ (_______) процентов</w:t>
      </w:r>
      <w:r>
        <w:rPr>
          <w:rStyle w:val="1178"/>
          <w:bCs/>
          <w:sz w:val="24"/>
          <w:szCs w:val="24"/>
          <w:shd w:val="clear" w:color="auto" w:fill="ffdbb6"/>
        </w:rPr>
        <w:footnoteReference w:id="2"/>
      </w:r>
      <w:r>
        <w:rPr>
          <w:bCs/>
          <w:sz w:val="24"/>
          <w:szCs w:val="24"/>
          <w:shd w:val="clear" w:color="auto" w:fill="ffdbb6"/>
          <w:vertAlign w:val="superscript"/>
        </w:rPr>
        <w:t xml:space="preserve"> </w:t>
      </w:r>
      <w:r>
        <w:rPr>
          <w:bCs/>
          <w:sz w:val="24"/>
          <w:szCs w:val="24"/>
          <w:shd w:val="clear" w:color="auto" w:fill="ffdbb6"/>
        </w:rPr>
        <w:t xml:space="preserve">от Цены Договора</w:t>
      </w:r>
      <w:r>
        <w:rPr>
          <w:rStyle w:val="1178"/>
          <w:bCs/>
          <w:sz w:val="24"/>
          <w:szCs w:val="24"/>
          <w:shd w:val="clear" w:color="auto" w:fill="ffdbb6"/>
        </w:rPr>
        <w:footnoteReference w:id="3"/>
      </w:r>
      <w:r>
        <w:rPr>
          <w:bCs/>
        </w:rPr>
        <w:t xml:space="preserve">, </w:t>
      </w:r>
      <w:r>
        <w:rPr>
          <w:bCs/>
        </w:rPr>
        <w:t xml:space="preserve">неся при этом ответственность за действия Субподрядчиков, как за свои собственные.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851"/>
        </w:tabs>
        <w:spacing/>
        <w:ind w:right="0" w:firstLine="567" w:left="0"/>
        <w:jc w:val="both"/>
        <w:rPr/>
      </w:pPr>
      <w:r>
        <w:rPr>
          <w:bCs/>
        </w:rPr>
        <w:t xml:space="preserve">При согласовании привлечения Субподрядчика Подрядчик представляет Заказчику:</w:t>
      </w:r>
      <w:r/>
    </w:p>
    <w:p>
      <w:pPr>
        <w:pStyle w:val="1229"/>
        <w:numPr>
          <w:ilvl w:val="0"/>
          <w:numId w:val="28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проект договора с Субподрядчиком;</w:t>
      </w:r>
      <w:r/>
    </w:p>
    <w:p>
      <w:pPr>
        <w:pStyle w:val="1229"/>
        <w:numPr>
          <w:ilvl w:val="0"/>
          <w:numId w:val="28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сведения об объемах выполнения работ Субподрядчиком;</w:t>
      </w:r>
      <w:r/>
    </w:p>
    <w:p>
      <w:pPr>
        <w:pStyle w:val="1229"/>
        <w:numPr>
          <w:ilvl w:val="0"/>
          <w:numId w:val="28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</w:t>
      </w:r>
      <w:r/>
    </w:p>
    <w:p>
      <w:pPr>
        <w:pStyle w:val="1229"/>
        <w:numPr>
          <w:ilvl w:val="0"/>
          <w:numId w:val="27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0" w:left="0"/>
        <w:jc w:val="both"/>
        <w:rPr/>
      </w:pPr>
      <w:r/>
      <w:r/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12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 Локальным сметным расчетом</w:t>
      </w:r>
      <w:r>
        <w:rPr>
          <w:bCs/>
        </w:rPr>
        <w:t xml:space="preserve"> (Приложение № 2 к Договору) </w:t>
      </w:r>
      <w:r>
        <w:rPr>
          <w:bCs/>
          <w:highlight w:val="lightGray"/>
        </w:rPr>
        <w:t xml:space="preserve">является</w:t>
      </w:r>
      <w:r>
        <w:rPr>
          <w:bCs/>
        </w:rPr>
        <w:t xml:space="preserve"> </w:t>
      </w:r>
      <w:r>
        <w:rPr>
          <w:bCs/>
          <w:highlight w:val="lightGray"/>
        </w:rPr>
        <w:t xml:space="preserve">предельной</w:t>
      </w:r>
      <w:r>
        <w:rPr>
          <w:bCs/>
        </w:rPr>
        <w:t xml:space="preserve"> составляет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_______ (__________________) рублей ___ копеек,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в т.ч. НДС по ставке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22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% - _____ (__________) рублей _____ копеек / НДС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 не предусмотрен.</w:t>
      </w:r>
      <w:r>
        <w:rPr>
          <w:bCs/>
        </w:rPr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выполнение ремонтных работ;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заработную плату, накладные и командировочные расходы, перемещение и размещение персонала Подрядчика;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</w:t>
      </w:r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/>
    </w:p>
    <w:p>
      <w:pPr>
        <w:pStyle w:val="1229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14" w:name="_Ref361858588"/>
      <w:r/>
      <w:bookmarkStart w:id="15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4"/>
      <w:r/>
      <w:bookmarkEnd w:id="15"/>
      <w:r/>
      <w:r/>
    </w:p>
    <w:p>
      <w:pPr>
        <w:pStyle w:val="1229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6" w:name="_Ref373242766"/>
      <w:r/>
      <w:bookmarkStart w:id="17" w:name="_Ref361335023"/>
      <w:r/>
      <w:bookmarkEnd w:id="17"/>
      <w:r>
        <w:t xml:space="preserve">Авансовый платеж в счет стоимости Работ по Договору в размере 10 (десяти) процентов от Цены Договора</w:t>
      </w:r>
      <w:r>
        <w:t xml:space="preserve"> без учета НДС, кроме того НДС по ставке, установленной статьей</w:t>
      </w:r>
      <w:r>
        <w:t xml:space="preserve">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Подрядчиком</w:t>
      </w:r>
      <w:r>
        <w:t xml:space="preserve">, но не ранее, чем за 30 (тридцать) календарных дней до даты начала выполнения Работ, определенной в пункте 1.5. Договора, и с учетом пункта 3.5.3 Договора.</w:t>
      </w:r>
      <w:bookmarkEnd w:id="16"/>
      <w:r/>
      <w:r/>
    </w:p>
    <w:p>
      <w:pPr>
        <w:pStyle w:val="1229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t xml:space="preserve">Окончательный платеж в размере 90 (девяноста) процентов от Цены Договора выплачивается в течение </w:t>
      </w:r>
      <w:r>
        <w:rPr>
          <w:highlight w:val="lightGray"/>
        </w:rPr>
        <w:t xml:space="preserve">7 (семи) рабочих дней</w:t>
      </w:r>
      <w:r>
        <w:rPr>
          <w:rStyle w:val="1178"/>
          <w:highlight w:val="lightGray"/>
        </w:rPr>
        <w:footnoteReference w:id="4"/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3.5.3 Договора.</w:t>
      </w:r>
      <w:r/>
    </w:p>
    <w:p>
      <w:pPr>
        <w:pStyle w:val="1229"/>
        <w:widowControl w:val="true"/>
        <w:numPr>
          <w:ilvl w:val="2"/>
          <w:numId w:val="4"/>
        </w:numPr>
        <w:pBdr/>
        <w:shd w:val="clear" w:color="auto" w:fill="ffffff"/>
        <w:tabs>
          <w:tab w:val="left" w:leader="none" w:pos="686"/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18" w:name="_Ref361834178"/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8"/>
      <w:r/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За исключением случая, указанного в пункте 2.3.20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highlight w:val="lightGray"/>
        </w:rPr>
        <w:t xml:space="preserve">Командировочные расходы включаются в стоимость Работ по Договору в соответствии с расчетом, прилагаемым к Сводному сметному расчету /</w:t>
      </w:r>
      <w:r>
        <w:rPr>
          <w:bCs/>
          <w:highlight w:val="lightGray"/>
        </w:rPr>
        <w:t xml:space="preserve"> Объектному сметному расчету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 xml:space="preserve">с приложениями</w:t>
      </w:r>
      <w:r>
        <w:rPr>
          <w:highlight w:val="lightGray"/>
        </w:rPr>
        <w:t xml:space="preserve"> (Приложение № 2 к Договору). Размеры расходов, связанных со служебными командировками, оп</w:t>
      </w:r>
      <w:r>
        <w:rPr>
          <w:highlight w:val="lightGray"/>
        </w:rPr>
        <w:t xml:space="preserve">ределяются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</w:t>
      </w:r>
      <w:r>
        <w:rPr>
          <w:highlight w:val="lightGray"/>
        </w:rPr>
        <w:t xml:space="preserve">запросу. Оплата командировочных расходов производится Заказчиком в порядке, установленном Договором для оплаты стоимости Работ по Договору. Подрядчик обязан представлять по запросу Заказчика копии следующих документов, заверенных Подрядчиком, в том числе: 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приказ о командировании работника, проездные билеты, посадочные талоны, чеки на оплату проезда и проживание в гостинице (расписка за жилье). </w:t>
      </w:r>
      <w:r/>
    </w:p>
    <w:p>
      <w:pPr>
        <w:pStyle w:val="1229"/>
        <w:widowControl w:val="true"/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>
          <w:highlight w:val="none"/>
          <w:shd w:val="clear" w:color="auto" w:fill="cccccc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В случае, если Подрядчиком исполняются другие обязательства перед Заказчиком в районе выполнения работ, командировочные расходы, предъявляемые Подрядчиком к возмещению на одних и тех же работников по таким договорам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, не должны дублироваться по датам командировки,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  <w:r>
        <w:rPr>
          <w:highlight w:val="none"/>
          <w:shd w:val="clear" w:color="auto" w:fill="cccccc"/>
        </w:rPr>
      </w:r>
      <w:r>
        <w:rPr>
          <w:highlight w:val="none"/>
          <w:shd w:val="clear" w:color="auto" w:fill="cccccc"/>
        </w:rPr>
      </w:r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19" w:name="_Ref361335023_Копия_1"/>
      <w:r/>
      <w:bookmarkEnd w:id="19"/>
      <w:r>
        <w:rPr>
          <w:bCs/>
        </w:rPr>
        <w:t xml:space="preserve">Индексация Цены Договора не допускается.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t xml:space="preserve">Заказчик вправе произвести сальдо взаимных обязательств Сторон путем уменьшения сумм причитающ</w:t>
      </w:r>
      <w: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t xml:space="preserve">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/>
    </w:p>
    <w:p>
      <w:pPr>
        <w:pStyle w:val="1229"/>
        <w:widowControl w:val="true"/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0" w:name="_Ref361834251"/>
      <w:r/>
      <w:bookmarkStart w:id="21" w:name="_GoBack"/>
      <w:r/>
      <w:bookmarkEnd w:id="21"/>
      <w: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20"/>
      <w:r/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Порядок сдачи-приемки Работ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2" w:name="_Ref361336865"/>
      <w:r>
        <w:rPr>
          <w:bCs/>
        </w:rPr>
        <w:t xml:space="preserve">По завершении выполнения Работ по Договору Подрядчик в течение 3 (трех) рабочих дней представляет Заказчику подписанные со своей стороны:</w:t>
      </w:r>
      <w:r/>
    </w:p>
    <w:p>
      <w:pPr>
        <w:pStyle w:val="1229"/>
        <w:widowControl w:val="true"/>
        <w:numPr>
          <w:ilvl w:val="0"/>
          <w:numId w:val="19"/>
        </w:numPr>
        <w:pBdr/>
        <w:shd w:val="clear" w:color="auto" w:fill="ffffff"/>
        <w:tabs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t xml:space="preserve">Акт КС-2, Справку КС-3 </w:t>
      </w:r>
      <w:r>
        <w:rPr>
          <w:bCs/>
        </w:rPr>
        <w:t xml:space="preserve">н</w:t>
      </w:r>
      <w:r>
        <w:t xml:space="preserve"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экземплярах, а также электронные версии Акта КС-2 и Справки КС-3 в формате *gsfx ПК «ГРАНД Сметы» на цифровом носителе; </w:t>
      </w:r>
      <w:r/>
    </w:p>
    <w:p>
      <w:pPr>
        <w:pStyle w:val="1229"/>
        <w:widowControl w:val="true"/>
        <w:numPr>
          <w:ilvl w:val="0"/>
          <w:numId w:val="19"/>
        </w:numPr>
        <w:pBdr/>
        <w:shd w:val="clear" w:color="auto" w:fill="ffffff"/>
        <w:tabs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highlight w:val="lightGray"/>
        </w:rPr>
        <w:t xml:space="preserve">Акт</w:t>
      </w:r>
      <w:r>
        <w:rPr>
          <w:bCs/>
          <w:highlight w:val="lightGray"/>
        </w:rPr>
        <w:t xml:space="preserve"> ОС-3 в 2 (двух) экземплярах</w:t>
      </w:r>
      <w:r>
        <w:rPr>
          <w:highlight w:val="lightGray"/>
        </w:rPr>
        <w:t xml:space="preserve">.</w:t>
      </w:r>
      <w:bookmarkEnd w:id="22"/>
      <w:r/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Подрядч</w:t>
      </w:r>
      <w:r>
        <w:rPr>
          <w:bCs/>
        </w:rPr>
        <w:t xml:space="preserve">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</w:t>
      </w:r>
      <w:r>
        <w:rPr>
          <w:bCs/>
        </w:rPr>
        <w:t xml:space="preserve">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</w:t>
      </w:r>
      <w:r>
        <w:rPr>
          <w:bCs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</w:r>
      <w:r>
        <w:rPr>
          <w:bCs/>
          <w:sz w:val="24"/>
          <w:szCs w:val="24"/>
          <w:shd w:val="clear" w:color="auto" w:fill="ffdbb6"/>
        </w:rPr>
        <w:t xml:space="preserve">Подрядчик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нарушения Подрядчиком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непредставления Подрядчиком в течение 5 (пяти) календарных дней с даты получения авансового платежа счета-фактуры (УПД), подтверждаю</w:t>
      </w:r>
      <w:r>
        <w:rPr>
          <w:bCs/>
          <w:sz w:val="24"/>
          <w:szCs w:val="24"/>
          <w:shd w:val="clear" w:color="auto" w:fill="ffdbb6"/>
        </w:rPr>
        <w:t xml:space="preserve">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платежа, взятого без учета НДС</w:t>
      </w:r>
      <w:r>
        <w:rPr>
          <w:rStyle w:val="1178"/>
          <w:bCs/>
          <w:sz w:val="24"/>
          <w:szCs w:val="24"/>
          <w:shd w:val="clear" w:color="auto" w:fill="ffdbb6"/>
        </w:rPr>
        <w:footnoteReference w:id="5"/>
      </w:r>
      <w:r>
        <w:rPr>
          <w:bCs/>
          <w:sz w:val="24"/>
          <w:szCs w:val="24"/>
          <w:shd w:val="clear" w:color="auto" w:fill="ffdbb6"/>
        </w:rPr>
        <w:t xml:space="preserve">. 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Право собственности и переход рисков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4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Акта </w:t>
      </w:r>
      <w:r>
        <w:t xml:space="preserve">КС-2</w:t>
      </w:r>
      <w:r>
        <w:rPr>
          <w:bCs/>
        </w:rPr>
        <w:t xml:space="preserve">. До подписания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4"/>
      <w:r/>
      <w:r/>
    </w:p>
    <w:p>
      <w:pPr>
        <w:pStyle w:val="1229"/>
        <w:pBdr/>
        <w:shd w:val="clear" w:color="auto" w:fill="ffffff"/>
        <w:tabs>
          <w:tab w:val="left" w:leader="none" w:pos="0"/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Ответственность Сторон</w:t>
      </w:r>
      <w:r/>
    </w:p>
    <w:p>
      <w:pPr>
        <w:pStyle w:val="1229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  <w:r/>
    </w:p>
    <w:p>
      <w:pPr>
        <w:pStyle w:val="1171"/>
        <w:widowControl w:val="true"/>
        <w:numPr>
          <w:ilvl w:val="1"/>
          <w:numId w:val="4"/>
        </w:numPr>
        <w:pBdr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/>
    </w:p>
    <w:p>
      <w:pPr>
        <w:pStyle w:val="1171"/>
        <w:widowControl w:val="true"/>
        <w:numPr>
          <w:ilvl w:val="1"/>
          <w:numId w:val="4"/>
        </w:numPr>
        <w:pBdr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Зак</w:t>
      </w:r>
      <w:r>
        <w:rPr>
          <w:bCs/>
          <w:sz w:val="24"/>
          <w:szCs w:val="24"/>
        </w:rPr>
        <w:t xml:space="preserve">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В случае нарушения Подрядчиком обязательств по выполнению Работ, в том числе сро</w:t>
      </w:r>
      <w:r>
        <w:rPr>
          <w:bCs/>
        </w:rPr>
        <w:t xml:space="preserve">ков выполнения Работ,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rFonts w:eastAsia="Calibri"/>
          <w:bCs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t xml:space="preserve">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</w:t>
      </w:r>
      <w:r>
        <w:rPr>
          <w:bCs/>
        </w:rPr>
        <w:t xml:space="preserve">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Договору.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  <w:sz w:val="24"/>
          <w:szCs w:val="24"/>
          <w:shd w:val="clear" w:color="auto" w:fill="ffdbb6"/>
        </w:rPr>
        <w:t xml:space="preserve">Если в результате составления и выставления Подрядчиком счетов-фактур (УПД) с нарушением порядка</w:t>
      </w:r>
      <w:r>
        <w:rPr>
          <w:bCs/>
          <w:sz w:val="24"/>
          <w:szCs w:val="24"/>
          <w:shd w:val="clear" w:color="auto" w:fill="ffdbb6"/>
        </w:rPr>
        <w:t xml:space="preserve">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нарушения Подрядчиком сроков, предусмотренных пунктом 4.7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1229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/>
    </w:p>
    <w:p>
      <w:pPr>
        <w:pStyle w:val="1229"/>
        <w:widowControl w:val="true"/>
        <w:numPr>
          <w:ilvl w:val="0"/>
          <w:numId w:val="4"/>
        </w:numPr>
        <w:pBdr/>
        <w:bidi w:val="false"/>
        <w:spacing w:line="240" w:lineRule="auto"/>
        <w:ind w:right="0"/>
        <w:jc w:val="center"/>
        <w:rPr/>
      </w:pPr>
      <w:r>
        <w:rPr>
          <w:bCs/>
        </w:rPr>
      </w:r>
      <w:r>
        <w:rPr>
          <w:b/>
          <w:bCs/>
        </w:rPr>
        <w:t xml:space="preserve">Гарантии качества Результата Работ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t xml:space="preserve">Гарантийный срок по Договору составляет </w:t>
      </w:r>
      <w:r>
        <w:t xml:space="preserve"> 24 (двадцать четыре) </w:t>
      </w:r>
      <w:r>
        <w:t xml:space="preserve"> месяцев и начинает течь 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</w:t>
      </w:r>
      <w:r>
        <w:rPr>
          <w:bCs/>
        </w:rPr>
        <w:t xml:space="preserve">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/>
      <w:bookmarkStart w:id="25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/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/>
    </w:p>
    <w:p>
      <w:pPr>
        <w:pStyle w:val="1229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26" w:name="OLE_LINK5"/>
      <w:r/>
      <w:bookmarkStart w:id="27" w:name="OLE_LINK6"/>
      <w:r>
        <w:rPr>
          <w:bCs/>
          <w:sz w:val="24"/>
          <w:szCs w:val="24"/>
        </w:rPr>
        <w:t xml:space="preserve">Акте о недостатках, составленном в порядке, установленном пунктом 7.5 Договора</w:t>
      </w:r>
      <w:bookmarkEnd w:id="26"/>
      <w:r/>
      <w:bookmarkEnd w:id="27"/>
      <w:r>
        <w:rPr>
          <w:bCs/>
          <w:sz w:val="24"/>
          <w:szCs w:val="24"/>
        </w:rPr>
        <w:t xml:space="preserve">.</w:t>
      </w:r>
      <w:r/>
    </w:p>
    <w:p>
      <w:pPr>
        <w:pStyle w:val="1229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Устранение недостатков,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  <w:r/>
    </w:p>
    <w:p>
      <w:pPr>
        <w:pStyle w:val="1229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При устранении недостатков, несоответствий и/или дефектов результата Работ/Оборудования путем его  ремонта или путем замены результата Работа/Оборудования расход</w:t>
      </w:r>
      <w:r>
        <w:rPr>
          <w:bCs/>
          <w:sz w:val="24"/>
          <w:szCs w:val="24"/>
        </w:rPr>
        <w:t xml:space="preserve">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Работ/Оборудования является ДЭС (дизельная электростанция) соответствующего филиала Заказчика. </w:t>
      </w:r>
      <w:r/>
    </w:p>
    <w:p>
      <w:pPr>
        <w:pStyle w:val="1229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</w:t>
      </w:r>
      <w:r>
        <w:rPr>
          <w:bCs/>
        </w:rPr>
        <w:t xml:space="preserve">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/>
    </w:p>
    <w:p>
      <w:pPr>
        <w:pStyle w:val="1229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Устранение недостатк</w:t>
      </w:r>
      <w:r>
        <w:rPr>
          <w:bCs/>
        </w:rPr>
        <w:t xml:space="preserve">ов,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</w:t>
      </w:r>
      <w:r/>
    </w:p>
    <w:p>
      <w:pPr>
        <w:pStyle w:val="1171"/>
        <w:pBdr/>
        <w:shd w:val="clear" w:color="auto" w:fill="ffffff"/>
        <w:tabs>
          <w:tab w:val="left" w:leader="none" w:pos="566"/>
          <w:tab w:val="clear" w:leader="none" w:pos="708"/>
        </w:tabs>
        <w:spacing w:line="240" w:lineRule="auto"/>
        <w:ind w:right="0" w:firstLine="567" w:lef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29"/>
        <w:widowControl w:val="true"/>
        <w:numPr>
          <w:ilvl w:val="0"/>
          <w:numId w:val="4"/>
        </w:numPr>
        <w:pBdr/>
        <w:spacing w:line="240" w:lineRule="auto"/>
        <w:ind w:right="0"/>
        <w:jc w:val="center"/>
        <w:rPr/>
      </w:pPr>
      <w:r>
        <w:rPr>
          <w:b/>
          <w:bCs/>
        </w:rPr>
        <w:t xml:space="preserve">Исключительные </w:t>
      </w:r>
      <w:r>
        <w:rPr>
          <w:b/>
          <w:bCs/>
        </w:rPr>
        <w:t xml:space="preserve">права и патенты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состав Результата Раб</w:t>
      </w:r>
      <w:r>
        <w:rPr>
          <w:bCs/>
        </w:rPr>
        <w:t xml:space="preserve">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1229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Конфиденциальность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709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709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Информация может включать в себя, в том числе, но не ограничиваясь: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учетные регистры бухгалтерского учета;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бизнес-планы;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/>
    </w:p>
    <w:p>
      <w:pPr>
        <w:pStyle w:val="1171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28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8"/>
      <w:r/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использовать Информацию исключительно для целей, для которых она была предоставлена;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</w:t>
      </w:r>
      <w:r>
        <w:rPr>
          <w:bCs/>
        </w:rPr>
        <w:t xml:space="preserve">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/>
      <w:bookmarkStart w:id="29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  <w:r/>
      <w:r/>
    </w:p>
    <w:p>
      <w:pPr>
        <w:pStyle w:val="1229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разглашать третьим лицам факты передачи или получения Информации.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30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  <w:r/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/>
    </w:p>
    <w:p>
      <w:pPr>
        <w:pStyle w:val="1229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/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r/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Разрешение </w:t>
      </w:r>
      <w:r>
        <w:rPr>
          <w:b/>
          <w:bCs/>
        </w:rPr>
        <w:t xml:space="preserve">споров</w:t>
      </w:r>
      <w:r/>
    </w:p>
    <w:p>
      <w:pPr>
        <w:pStyle w:val="1229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/>
    </w:p>
    <w:p>
      <w:pPr>
        <w:pStyle w:val="1229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Споры, указанные в пункте 10.1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/>
    </w:p>
    <w:p>
      <w:pPr>
        <w:pStyle w:val="1229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lightGray"/>
        </w:rPr>
        <w:t xml:space="preserve">16.8</w:t>
      </w:r>
      <w:r>
        <w:rPr>
          <w:bCs/>
        </w:rPr>
        <w:t xml:space="preserve"> Договора.</w:t>
      </w:r>
      <w:r/>
    </w:p>
    <w:p>
      <w:pPr>
        <w:pStyle w:val="1229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/>
    </w:p>
    <w:p>
      <w:pPr>
        <w:pStyle w:val="1229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/>
    </w:p>
    <w:p>
      <w:pPr>
        <w:pStyle w:val="1229"/>
        <w:numPr>
          <w:ilvl w:val="0"/>
          <w:numId w:val="0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Антикоррупционная </w:t>
      </w:r>
      <w:r>
        <w:rPr>
          <w:b/>
          <w:bCs/>
        </w:rPr>
        <w:t xml:space="preserve">оговорка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color w:val="000000"/>
          <w:sz w:val="24"/>
          <w:szCs w:val="24"/>
        </w:rPr>
        <w:t xml:space="preserve"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</w:t>
      </w:r>
      <w:r>
        <w:rPr>
          <w:bCs/>
          <w:color w:val="000000"/>
          <w:sz w:val="24"/>
          <w:szCs w:val="24"/>
        </w:rPr>
        <w:t xml:space="preserve">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17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color w:val="000000"/>
          <w:sz w:val="24"/>
          <w:szCs w:val="24"/>
        </w:rPr>
        <w:t xml:space="preserve">11.7.  Каналы связи Линия доверия Группы РусГидро:</w:t>
      </w:r>
      <w:r/>
    </w:p>
    <w:p>
      <w:pPr>
        <w:pStyle w:val="117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11.7.1. Электронная почта: ld@rushydro.ru.</w:t>
      </w:r>
      <w:r/>
    </w:p>
    <w:p>
      <w:pPr>
        <w:pStyle w:val="117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/>
    </w:p>
    <w:p>
      <w:pPr>
        <w:pStyle w:val="1171"/>
        <w:pBdr/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pStyle w:val="1171"/>
        <w:pBdr/>
        <w:tabs>
          <w:tab w:val="clear" w:leader="none" w:pos="708"/>
          <w:tab w:val="left" w:leader="none" w:pos="709"/>
        </w:tabs>
        <w:spacing w:line="240" w:lineRule="auto"/>
        <w:ind w:right="0" w:firstLine="567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Обстоятельства </w:t>
      </w:r>
      <w:r>
        <w:rPr>
          <w:b/>
          <w:bCs/>
        </w:rPr>
        <w:t xml:space="preserve">непреодолимой силы (форс-мажор)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229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/>
    </w:p>
    <w:p>
      <w:pPr>
        <w:pStyle w:val="1229"/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/>
    </w:p>
    <w:p>
      <w:pPr>
        <w:pStyle w:val="1171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Особые </w:t>
      </w:r>
      <w:r>
        <w:rPr>
          <w:b/>
          <w:bCs/>
        </w:rPr>
        <w:t xml:space="preserve">положения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1" w:name="_Ref361337900"/>
      <w:r>
        <w:rPr>
          <w:bCs/>
          <w:sz w:val="24"/>
          <w:szCs w:val="24"/>
        </w:rPr>
        <w:t xml:space="preserve">13.1. Подрядчик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229"/>
        <w:numPr>
          <w:ilvl w:val="1"/>
          <w:numId w:val="1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5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6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</w:t>
      </w:r>
      <w:r>
        <w:rPr>
          <w:bCs/>
        </w:rPr>
        <w:t xml:space="preserve">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  <w:r/>
    </w:p>
    <w:p>
      <w:pPr>
        <w:pStyle w:val="1229"/>
        <w:numPr>
          <w:ilvl w:val="1"/>
          <w:numId w:val="1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соответствующие </w:t>
      </w:r>
      <w:hyperlink r:id="rId27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  <w:r/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2" w:name="_Ref361337921"/>
      <w:r>
        <w:rPr>
          <w:bCs/>
          <w:sz w:val="24"/>
          <w:szCs w:val="24"/>
        </w:rPr>
        <w:t xml:space="preserve">13.2. Подрядчик обязуется неза</w:t>
      </w:r>
      <w:r>
        <w:rPr>
          <w:bCs/>
          <w:sz w:val="24"/>
          <w:szCs w:val="24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32"/>
      <w:r/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3" w:name="_Ref361337948"/>
      <w:r>
        <w:rPr>
          <w:bCs/>
          <w:sz w:val="24"/>
          <w:szCs w:val="24"/>
        </w:rPr>
        <w:t xml:space="preserve"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4"/>
          <w:szCs w:val="24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  <w:r/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4" w:name="_Ref361337980"/>
      <w:r>
        <w:rPr>
          <w:bCs/>
          <w:sz w:val="24"/>
          <w:szCs w:val="24"/>
        </w:rPr>
        <w:t xml:space="preserve">13.4. Подрядчик обязан уплатить Заказчику</w:t>
      </w:r>
      <w:r>
        <w:rPr>
          <w:bCs/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 Договора.</w:t>
      </w:r>
      <w:bookmarkEnd w:id="34"/>
      <w:r/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5" w:name="_Ref373243071"/>
      <w:r>
        <w:rPr>
          <w:bCs/>
          <w:sz w:val="24"/>
          <w:szCs w:val="24"/>
        </w:rPr>
        <w:t xml:space="preserve">13.5. Штраф, предусмотренный пунктом 13.4 Договора, оплачивается Подрядчиком в течение 10 (десяти) рабочих д</w:t>
      </w:r>
      <w:r>
        <w:rPr>
          <w:bCs/>
          <w:sz w:val="24"/>
          <w:szCs w:val="24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5"/>
      <w:r/>
      <w:r/>
    </w:p>
    <w:p>
      <w:p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bookmarkStart w:id="36" w:name="_Ref361337992"/>
      <w:r>
        <w:rPr>
          <w:sz w:val="24"/>
          <w:szCs w:val="24"/>
        </w:rPr>
        <w:t xml:space="preserve">13.6. Заказчик вправе приостановить осуществление любых платежей по Договору, причитающи</w:t>
      </w:r>
      <w:r>
        <w:rPr>
          <w:sz w:val="24"/>
          <w:szCs w:val="24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36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Bdr/>
        <w:shd w:val="clear" w:color="auto" w:fill="ffffff"/>
        <w:tabs>
          <w:tab w:val="clear" w:leader="none" w:pos="0"/>
          <w:tab w:val="clear" w:leader="none" w:pos="708"/>
          <w:tab w:val="left" w:leader="none" w:pos="1134"/>
        </w:tabs>
        <w:spacing w:line="240" w:lineRule="auto"/>
        <w:ind w:right="0" w:firstLine="567" w:left="0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13.7. 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229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>
          <w:b/>
          <w:bCs/>
        </w:rPr>
      </w:pPr>
      <w:r>
        <w:rPr>
          <w:b/>
          <w:bCs/>
        </w:rPr>
        <w:t xml:space="preserve">Заверения</w:t>
      </w:r>
      <w:r>
        <w:rPr>
          <w:b/>
          <w:bCs/>
        </w:rPr>
        <w:t xml:space="preserve"> </w:t>
      </w:r>
      <w:r>
        <w:rPr>
          <w:b/>
        </w:rPr>
        <w:t xml:space="preserve">Сторон</w:t>
      </w:r>
      <w:r>
        <w:rPr>
          <w:b/>
          <w:bCs/>
        </w:rPr>
      </w:r>
      <w:r>
        <w:rPr>
          <w:b/>
          <w:bCs/>
        </w:rPr>
      </w:r>
    </w:p>
    <w:p>
      <w:pPr>
        <w:widowControl w:val="true"/>
        <w:pBdr/>
        <w:tabs>
          <w:tab w:val="clear" w:leader="none" w:pos="0"/>
        </w:tabs>
        <w:spacing w:line="240" w:lineRule="auto"/>
        <w:ind w:right="0" w:firstLine="567" w:left="0"/>
        <w:jc w:val="left"/>
        <w:rPr>
          <w:sz w:val="24"/>
          <w:szCs w:val="24"/>
        </w:rPr>
      </w:pPr>
      <w:r>
        <w:rPr>
          <w:b/>
          <w:sz w:val="24"/>
          <w:szCs w:val="24"/>
        </w:rPr>
      </w:r>
      <w:r>
        <w:rPr>
          <w:bCs/>
          <w:sz w:val="24"/>
          <w:szCs w:val="24"/>
        </w:rPr>
        <w:t xml:space="preserve">14.1. Каждая</w:t>
      </w:r>
      <w:r>
        <w:rPr>
          <w:sz w:val="24"/>
          <w:szCs w:val="24"/>
        </w:rPr>
        <w:t xml:space="preserve"> из Сторон заявляет и подтверждает другой Стороне,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229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14.2. Подрядчик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1229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229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229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фактически находится по адресу, указанному в Едином государственном реестре юридических лиц;</w:t>
      </w:r>
      <w:r/>
    </w:p>
    <w:p>
      <w:pPr>
        <w:pStyle w:val="1229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229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171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  <w:t xml:space="preserve">14.3.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14.4. В случае, если </w:t>
      </w:r>
      <w:r>
        <w:rPr>
          <w:bCs/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  <w:t xml:space="preserve">14.5. </w:t>
      </w: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П</w:t>
      </w:r>
      <w:r>
        <w:rPr>
          <w:b/>
          <w:bCs/>
        </w:rPr>
        <w:t xml:space="preserve">рекращение </w:t>
      </w:r>
      <w:r>
        <w:rPr>
          <w:b/>
        </w:rPr>
        <w:t xml:space="preserve">(расторжение) Договора</w:t>
      </w:r>
      <w:r/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</w:t>
      </w:r>
      <w:r>
        <w:rPr>
          <w:highlight w:val="lightGray"/>
        </w:rPr>
        <w:t xml:space="preserve">16.8</w:t>
      </w:r>
      <w:r>
        <w:t xml:space="preserve">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Заказчик вправе в любое время до сдачи ему Результатов Работ в односторонн</w:t>
      </w:r>
      <w:r>
        <w:t xml:space="preserve">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нарушение Подрядчиком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несоблюдение Подрядчиком требований к качеству Работ и / или используемых при выполнении Работ </w:t>
      </w:r>
      <w: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229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/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В </w:t>
      </w:r>
      <w:r>
        <w:t xml:space="preserve">случае</w:t>
      </w:r>
      <w:r>
        <w:t xml:space="preserve"> </w:t>
      </w:r>
      <w: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  <w:r/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С даты </w:t>
      </w:r>
      <w:r>
        <w:t xml:space="preserve">прекращения </w:t>
      </w:r>
      <w:r>
        <w:t xml:space="preserve">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1229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/>
    </w:p>
    <w:p>
      <w:pPr>
        <w:pStyle w:val="1229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</w:t>
      </w:r>
      <w:r/>
    </w:p>
    <w:p>
      <w:pPr>
        <w:pStyle w:val="1229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Строительную площадку чистой и безопасной.</w:t>
      </w:r>
      <w:r/>
    </w:p>
    <w:p>
      <w:pPr>
        <w:pStyle w:val="1229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При </w:t>
      </w:r>
      <w:r>
        <w:t xml:space="preserve">прекращении </w:t>
      </w:r>
      <w:r>
        <w:t xml:space="preserve">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229"/>
        <w:numPr>
          <w:ilvl w:val="0"/>
          <w:numId w:val="0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r/>
    </w:p>
    <w:p>
      <w:pPr>
        <w:pStyle w:val="1229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Заключительные </w:t>
      </w:r>
      <w:r>
        <w:rPr>
          <w:b/>
          <w:bCs/>
        </w:rPr>
        <w:t xml:space="preserve">положения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rPr/>
      </w:pPr>
      <w:r>
        <w:t xml:space="preserve">Договор вступает в силу с даты его подписания Сторонами и действует до полного исполнения ими принятых на себя обязательств.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rPr/>
      </w:pPr>
      <w:r>
        <w:t xml:space="preserve">Д</w:t>
      </w:r>
      <w:r>
        <w:rPr>
          <w:sz w:val="24"/>
          <w:szCs w:val="24"/>
          <w:highlight w:val="lightGray"/>
          <w:lang w:eastAsia="en-US"/>
        </w:rPr>
        <w:t xml:space="preserve">о</w:t>
      </w:r>
      <w:r>
        <w:rPr>
          <w:sz w:val="24"/>
          <w:szCs w:val="24"/>
          <w:highlight w:val="lightGray"/>
          <w:lang w:eastAsia="en-US"/>
        </w:rPr>
        <w:t xml:space="preserve">говор заключается в электронной форме с использованием программно-аппаратных средств электронной площадки ЭТП РАД (https://tender.lot-online.ru) путем его подписания усиленными квалифицированными электронными подписями уполномоченных представителей Сторон
</w:t>
      </w:r>
      <w:r/>
    </w:p>
    <w:p>
      <w:pPr>
        <w:pStyle w:val="1171"/>
        <w:pBdr/>
        <w:spacing w:line="240" w:lineRule="auto"/>
        <w:ind w:right="0" w:firstLine="567" w:left="0"/>
        <w:rPr/>
      </w:pPr>
      <w:r>
        <w:rPr>
          <w:sz w:val="24"/>
          <w:szCs w:val="24"/>
          <w:highlight w:val="lightGray"/>
          <w:lang w:eastAsia="en-US"/>
        </w:rPr>
        <w:t xml:space="preserve"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sz w:val="24"/>
          <w:szCs w:val="24"/>
          <w:highlight w:val="lightGray"/>
          <w:lang w:eastAsia="en-US"/>
        </w:rPr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r>
        <w:rPr>
          <w:highlight w:val="lightGray"/>
        </w:rPr>
        <w:t xml:space="preserve">16.7</w:t>
      </w:r>
      <w:r>
        <w:t xml:space="preserve"> Договора.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highlight w:val="lightGray"/>
        </w:rPr>
        <w:t xml:space="preserve">16.8</w:t>
      </w:r>
      <w:r>
        <w:t xml:space="preserve">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37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</w:t>
      </w:r>
      <w:r>
        <w:rPr>
          <w:highlight w:val="lightGray"/>
        </w:rPr>
        <w:t xml:space="preserve">16.8</w:t>
      </w:r>
      <w:r>
        <w:t xml:space="preserve"> Договора.</w:t>
      </w:r>
      <w:bookmarkEnd w:id="37"/>
      <w:r/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left" w:leader="none" w:pos="0"/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</w:t>
      </w:r>
      <w:r/>
    </w:p>
    <w:p>
      <w:pPr>
        <w:pStyle w:val="1229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229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</w:t>
      </w:r>
      <w:r/>
    </w:p>
    <w:p>
      <w:pPr>
        <w:pStyle w:val="1229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/>
    </w:p>
    <w:p>
      <w:pPr>
        <w:pStyle w:val="1229"/>
        <w:pBdr/>
        <w:shd w:val="clear" w:color="auto" w:fill="ffffff"/>
        <w:tabs>
          <w:tab w:val="left" w:leader="none" w:pos="0"/>
          <w:tab w:val="clear" w:leader="none" w:pos="708"/>
          <w:tab w:val="left" w:leader="none" w:pos="141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highlight w:val="lightGray"/>
        </w:rPr>
        <w:t xml:space="preserve">16.8.1 – 16.8.2</w:t>
      </w:r>
      <w:r>
        <w:rPr>
          <w:bCs/>
        </w:rPr>
        <w:t xml:space="preserve"> Договора.</w:t>
      </w:r>
      <w:r/>
    </w:p>
    <w:p>
      <w:pPr>
        <w:pStyle w:val="1171"/>
        <w:numPr>
          <w:ilvl w:val="1"/>
          <w:numId w:val="26"/>
        </w:numPr>
        <w:pBdr/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Во избежание сомнений, кроме случаев, ко</w:t>
      </w:r>
      <w:r>
        <w:rPr>
          <w:bCs/>
          <w:sz w:val="24"/>
          <w:szCs w:val="24"/>
        </w:rPr>
        <w:t xml:space="preserve">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1178"/>
          <w:bCs/>
        </w:rPr>
        <w:footnoteReference w:id="6"/>
      </w:r>
      <w:r>
        <w:rPr>
          <w:bCs/>
        </w:rPr>
        <w:t xml:space="preserve">.</w:t>
      </w:r>
      <w:r/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>
          <w:rFonts w:ascii="Times New Roman;serif" w:hAnsi="Times New Roman;serif"/>
          <w:shd w:val="clear" w:color="auto" w:fill="auto"/>
        </w:rPr>
      </w:pPr>
      <w:r>
        <w:rPr>
          <w:rFonts w:ascii="Times New Roman;serif" w:hAnsi="Times New Roman;serif"/>
          <w:shd w:val="clear" w:color="auto" w:fill="auto"/>
        </w:rPr>
        <w:t xml:space="preserve">В соответствии с действующим законодательством датой подписания Договора считается дата последнего подписанта.</w:t>
      </w:r>
      <w:r>
        <w:rPr>
          <w:rFonts w:ascii="Times New Roman;serif" w:hAnsi="Times New Roman;serif"/>
          <w:shd w:val="clear" w:color="auto" w:fill="auto"/>
        </w:rPr>
      </w:r>
      <w:r>
        <w:rPr>
          <w:rFonts w:ascii="Times New Roman;serif" w:hAnsi="Times New Roman;serif"/>
          <w:shd w:val="clear" w:color="auto" w:fill="auto"/>
        </w:rPr>
      </w:r>
    </w:p>
    <w:p>
      <w:pPr>
        <w:pStyle w:val="1229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highlight w:val="lightGray"/>
        </w:rPr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lightGray"/>
        </w:rPr>
      </w:r>
      <w:r>
        <w:rPr>
          <w:highlight w:val="lightGray"/>
        </w:rPr>
      </w:r>
    </w:p>
    <w:p>
      <w:pPr>
        <w:pStyle w:val="1229"/>
        <w:pBdr/>
        <w:shd w:val="clear" w:color="auto" w:fill="ffffff"/>
        <w:spacing/>
        <w:ind w:right="0" w:firstLine="0" w:left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29"/>
        <w:numPr>
          <w:ilvl w:val="0"/>
          <w:numId w:val="26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jc w:val="center"/>
        <w:rPr/>
      </w:pPr>
      <w:r>
        <w:rPr>
          <w:b/>
          <w:bCs/>
        </w:rPr>
        <w:t xml:space="preserve">Список приложений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t xml:space="preserve">Приложение № </w:t>
      </w:r>
      <w:r>
        <w:rPr>
          <w:bCs/>
        </w:rPr>
        <w:t xml:space="preserve">1 – Техническое требование;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2 – Локальный сметный расчет;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3.1 – Форма Акта сдачи-приемки места производства работ, </w:t>
      </w:r>
      <w:r>
        <w:rPr>
          <w:bCs/>
          <w:highlight w:val="lightGray"/>
        </w:rPr>
        <w:t xml:space="preserve">места (помещения) для складирования Материально-технических ресурсов</w:t>
      </w:r>
      <w:r>
        <w:rPr>
          <w:highlight w:val="none"/>
        </w:rPr>
        <w:t xml:space="preserve">;</w:t>
      </w:r>
      <w:r>
        <w:rPr>
          <w:highlight w:val="lightGray"/>
        </w:rPr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3.2 – Форма Акта сдачи-приемки технической и иной документации;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4 – Перечень допусков, разрешений и лицензий Подрядчика;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5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Приложение № 6 – </w:t>
      </w:r>
      <w:r>
        <w:rPr>
          <w:sz w:val="24"/>
          <w:szCs w:val="24"/>
        </w:rPr>
        <w:t xml:space="preserve">Порядок предоставления ресурсов и оказания Заказчиком услуг, необходимых для исполнения Подрядчиком обязательств по Договору;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/>
      </w:pPr>
      <w:r>
        <w:rPr>
          <w:sz w:val="24"/>
          <w:szCs w:val="24"/>
        </w:rPr>
        <w:t xml:space="preserve">Приложение № 7 - Соглашение об обеспечении охраны труда, промышленной, пожарной и экологической безопасности.</w:t>
      </w:r>
      <w:r/>
    </w:p>
    <w:p>
      <w:pPr>
        <w:pStyle w:val="1229"/>
        <w:pBdr/>
        <w:shd w:val="clear" w:color="auto" w:fill="ffffff"/>
        <w:spacing/>
        <w:ind w:right="0" w:firstLine="0" w:left="0"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shd w:val="clear" w:color="auto" w:fill="auto"/>
        </w:rPr>
        <w:t xml:space="preserve">Приложение № 8 –  Соглашение об использовании электронного документооборота.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229"/>
        <w:pBdr/>
        <w:shd w:val="clear" w:color="auto" w:fill="ffffff"/>
        <w:spacing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229"/>
        <w:pBdr/>
        <w:shd w:val="clear" w:color="auto" w:fill="ffffff"/>
        <w:spacing/>
        <w:ind w:right="0" w:firstLine="0" w:left="0"/>
        <w:jc w:val="both"/>
        <w:rPr>
          <w:highlight w:val="none"/>
        </w:rPr>
      </w:pPr>
      <w:r>
        <w:rPr>
          <w:highlight w:val="none"/>
          <w:shd w:val="clear" w:color="auto" w:fill="auto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229"/>
        <w:numPr>
          <w:ilvl w:val="0"/>
          <w:numId w:val="26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jc w:val="center"/>
        <w:rPr/>
      </w:pPr>
      <w:r>
        <w:rPr>
          <w:b/>
          <w:bCs/>
        </w:rPr>
        <w:t xml:space="preserve">Адреса и платежные реквизиты Сторон</w:t>
      </w:r>
      <w:r/>
    </w:p>
    <w:p>
      <w:pPr>
        <w:pStyle w:val="1229"/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69"/>
        <w:gridCol w:w="159"/>
        <w:gridCol w:w="4627"/>
        <w:gridCol w:w="335"/>
      </w:tblGrid>
      <w:tr>
        <w:trPr/>
        <w:tc>
          <w:tcPr>
            <w:gridSpan w:val="2"/>
            <w:tcBorders/>
            <w:tcW w:w="4928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gridSpan w:val="2"/>
            <w:tcBorders/>
            <w:tcW w:w="496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gridSpan w:val="2"/>
            <w:shd w:val="clear" w:color="auto" w:fill="bfbfbf" w:themeFill="background1" w:themeFillShade="BF"/>
            <w:tcBorders/>
            <w:tcW w:w="4928" w:type="dxa"/>
            <w:textDirection w:val="lrTb"/>
            <w:noWrap w:val="false"/>
          </w:tcPr>
          <w:p>
            <w:pPr>
              <w:pStyle w:val="1229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line="240" w:lineRule="auto"/>
              <w:ind w:firstLine="0" w:left="0"/>
              <w:rPr/>
            </w:pPr>
            <w:r>
              <w:rPr>
                <w:b/>
                <w:bCs/>
              </w:rPr>
              <w:t xml:space="preserve">Акционерное общество «Сахаэнерго»</w:t>
            </w:r>
            <w:r/>
          </w:p>
          <w:p>
            <w:pPr>
              <w:pStyle w:val="1229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line="240" w:lineRule="auto"/>
              <w:ind w:firstLine="0" w:left="0"/>
              <w:rPr/>
            </w:pPr>
            <w:r>
              <w:rPr>
                <w:b/>
                <w:bCs/>
              </w:rPr>
              <w:t xml:space="preserve">(АО «Сахаэнерго»)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Юридический адрес: 678400, Республика Саха (Якутия), Булунский улус, п. Тикси, ул. Морская, д. 5, корп. 1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Почтовый адрес: 677001,  Республика Саха (Якутия), г. Якутск, пер. Энергетиков, д. 2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ОГРН 1021401044830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ИНН / КПП 1435117944 / 140601001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40702810614020000113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расчетного счета)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Филиал Банк ВТБ (ПАО) в г. Хабаровске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(наименование банка)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30101810400000000727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корреспондентского счета банка)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040813727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тел. 8 (4112) 49-74-21, 21-01-15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факс. 8 (4112) 49-72-49, 49-75-11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/>
            </w:pPr>
            <w:r/>
            <w:hyperlink r:id="rId28" w:tooltip="mailto:mail@sakhaenergo.ru" w:history="1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@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sakhaenergo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.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ru</w:t>
              </w:r>
            </w:hyperlink>
            <w:r/>
            <w:r/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телефона, эл. адрес)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 w:left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/>
            <w:tcW w:w="496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(наименование юридического лица)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  <w:highlight w:val="none"/>
                <w:shd w:val="clear" w:color="auto" w:fill="ffdbb6"/>
              </w:rPr>
            </w:pPr>
            <w:r>
              <w:rPr>
                <w:sz w:val="24"/>
                <w:szCs w:val="24"/>
                <w:shd w:val="clear" w:color="auto" w:fill="ffdbb6"/>
              </w:rPr>
              <w:t xml:space="preserve">ID________________________</w:t>
            </w:r>
            <w:r>
              <w:rPr>
                <w:sz w:val="24"/>
                <w:szCs w:val="24"/>
                <w:highlight w:val="none"/>
                <w:shd w:val="clear" w:color="auto" w:fill="ffdbb6"/>
              </w:rPr>
            </w:r>
            <w:r>
              <w:rPr>
                <w:sz w:val="24"/>
                <w:szCs w:val="24"/>
                <w:highlight w:val="none"/>
                <w:shd w:val="clear" w:color="auto" w:fill="ffdbb6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Место нахождения: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Почтовый адрес: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ОГРН 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ИНН ____________ / КПП___________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(БИК банка)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телефона)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факса)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69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</w:tc>
        <w:tc>
          <w:tcPr>
            <w:gridSpan w:val="2"/>
            <w:tcBorders/>
            <w:tcW w:w="4786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3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/>
              <w:ind w:right="0" w:firstLine="0" w:left="0"/>
              <w:rPr/>
            </w:pPr>
            <w:r/>
            <w:r/>
          </w:p>
        </w:tc>
      </w:tr>
    </w:tbl>
    <w:p>
      <w:pPr>
        <w:pBdr/>
        <w:spacing/>
        <w:ind/>
        <w:rPr/>
        <w:sectPr>
          <w:headerReference w:type="default" r:id="rId9"/>
          <w:headerReference w:type="first" r:id="rId10"/>
          <w:footerReference w:type="default" r:id="rId15"/>
          <w:footnotePr>
            <w:numFmt w:val="decimal"/>
          </w:footnotePr>
          <w:endnotePr/>
          <w:type w:val="nextPage"/>
          <w:pgSz w:h="16838" w:orient="portrait" w:w="11906"/>
          <w:pgMar w:top="1134" w:right="851" w:bottom="851" w:left="1418" w:header="709" w:footer="709" w:gutter="0"/>
          <w:cols w:num="1" w:sep="0" w:space="1701" w:equalWidth="1"/>
          <w:titlePg/>
        </w:sectPr>
      </w:pPr>
      <w:r/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1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________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ТЕХНИЧЕСКОЕ ТРЕБОВАНИЕ</w:t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jc w:val="right"/>
        <w:rPr/>
      </w:pPr>
      <w:r>
        <w:br w:type="page" w:clear="all"/>
      </w:r>
      <w:r>
        <w:rPr>
          <w:sz w:val="22"/>
          <w:szCs w:val="22"/>
        </w:rPr>
        <w:t xml:space="preserve">Приложение № 2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Локальный сметный расчет</w:t>
      </w:r>
      <w:r>
        <w:rPr>
          <w:b/>
          <w:bCs/>
          <w:sz w:val="24"/>
          <w:szCs w:val="24"/>
        </w:rPr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3.1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240"/>
        <w:pBdr/>
        <w:shd w:val="clear" w:color="auto" w:fill="auto"/>
        <w:spacing/>
        <w:ind w:right="0" w:firstLine="0" w:left="0"/>
        <w:jc w:val="left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240"/>
        <w:pBdr/>
        <w:shd w:val="clear" w:color="auto" w:fill="auto"/>
        <w:spacing/>
        <w:ind w:right="0" w:firstLine="0" w:left="0"/>
        <w:rPr/>
      </w:pPr>
      <w:r>
        <w:rPr>
          <w:iCs/>
          <w:sz w:val="24"/>
          <w:szCs w:val="24"/>
        </w:rPr>
        <w:t xml:space="preserve">ФОРМА</w:t>
      </w:r>
      <w:r/>
    </w:p>
    <w:p>
      <w:pPr>
        <w:pStyle w:val="1240"/>
        <w:pBdr/>
        <w:shd w:val="clear" w:color="auto" w:fill="auto"/>
        <w:spacing/>
        <w:ind w:right="0" w:firstLine="0" w:left="0"/>
        <w:rPr/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  <w:highlight w:val="lightGray"/>
        </w:rPr>
        <w:t xml:space="preserve">и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 xml:space="preserve">/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 xml:space="preserve">или</w:t>
      </w:r>
      <w:r>
        <w:rPr>
          <w:sz w:val="24"/>
          <w:highlight w:val="lightGray"/>
        </w:rPr>
        <w:t xml:space="preserve"> места (помещения) для складирования </w:t>
      </w:r>
      <w:r>
        <w:rPr>
          <w:bCs/>
          <w:sz w:val="24"/>
          <w:highlight w:val="lightGray"/>
          <w:lang w:val="ru-RU"/>
        </w:rPr>
        <w:t xml:space="preserve">Материально-технических ресурсов</w:t>
      </w:r>
      <w:r>
        <w:rPr>
          <w:sz w:val="24"/>
          <w:szCs w:val="24"/>
          <w:highlight w:val="lightGray"/>
        </w:rPr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240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/>
          </w:p>
          <w:p>
            <w:pPr>
              <w:pStyle w:val="1240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Р</w:t>
            </w:r>
            <w:r>
              <w:rPr>
                <w:b w:val="0"/>
                <w:bCs/>
                <w:sz w:val="24"/>
                <w:szCs w:val="24"/>
              </w:rPr>
              <w:t xml:space="preserve"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и</w:t>
            </w:r>
            <w:r>
              <w:rPr>
                <w:b w:val="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/</w:t>
            </w:r>
            <w:r>
              <w:rPr>
                <w:b w:val="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или</w:t>
            </w:r>
            <w:r>
              <w:rPr>
                <w:b w:val="0"/>
                <w:bCs/>
                <w:sz w:val="24"/>
                <w:szCs w:val="24"/>
                <w:highlight w:val="lightGray"/>
              </w:rPr>
              <w:t xml:space="preserve"> места (помещения) для складирования </w:t>
            </w:r>
            <w:r>
              <w:rPr>
                <w:b w:val="0"/>
                <w:bCs/>
                <w:sz w:val="24"/>
                <w:szCs w:val="24"/>
                <w:highlight w:val="lightGray"/>
                <w:lang w:val="ru-RU"/>
              </w:rPr>
              <w:t xml:space="preserve">Материально-технических ресурсов</w:t>
            </w:r>
            <w:r>
              <w:rPr>
                <w:sz w:val="24"/>
                <w:szCs w:val="24"/>
                <w:highlight w:val="lightGray"/>
              </w:rPr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 «_____» _________20_г.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(указываются идентифицирующие признаки) </w:t>
            </w:r>
            <w:r>
              <w:rPr>
                <w:bCs/>
                <w:sz w:val="24"/>
                <w:szCs w:val="24"/>
                <w:highlight w:val="lightGray"/>
              </w:rPr>
              <w:t xml:space="preserve">и / или </w:t>
            </w:r>
            <w:r>
              <w:rPr>
                <w:sz w:val="24"/>
                <w:szCs w:val="24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</w:t>
            </w:r>
            <w:r>
              <w:rPr>
                <w:sz w:val="24"/>
                <w:szCs w:val="24"/>
                <w:highlight w:val="lightGray"/>
              </w:rPr>
              <w:t xml:space="preserve">_____________________________ </w:t>
            </w:r>
            <w:r>
              <w:rPr>
                <w:bCs/>
                <w:sz w:val="24"/>
                <w:szCs w:val="24"/>
                <w:highlight w:val="lightGray"/>
              </w:rPr>
              <w:t xml:space="preserve">(указываются идентифицирующие признаки)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Договору по</w:t>
            </w:r>
            <w:r>
              <w:rPr>
                <w:bCs/>
                <w:sz w:val="24"/>
                <w:szCs w:val="24"/>
              </w:rPr>
              <w:t xml:space="preserve">дряда №______ от _____________.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Место для производства Работ </w:t>
            </w:r>
            <w:r>
              <w:rPr>
                <w:bCs/>
                <w:sz w:val="24"/>
                <w:szCs w:val="24"/>
                <w:highlight w:val="lightGray"/>
              </w:rPr>
              <w:t xml:space="preserve">и </w:t>
            </w:r>
            <w:r>
              <w:rPr>
                <w:sz w:val="24"/>
                <w:szCs w:val="24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 </w:t>
            </w:r>
            <w:r>
              <w:rPr>
                <w:bCs/>
                <w:sz w:val="24"/>
                <w:szCs w:val="24"/>
                <w:highlight w:val="lightGray"/>
              </w:rPr>
              <w:t xml:space="preserve">переданы / передано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 xml:space="preserve"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i/>
                <w:sz w:val="24"/>
                <w:szCs w:val="24"/>
              </w:rPr>
              <w:t xml:space="preserve">(указать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  <w:highlight w:val="lightGray"/>
              </w:rPr>
              <w:t xml:space="preserve">Претензии </w:t>
            </w:r>
            <w:r>
              <w:rPr>
                <w:sz w:val="24"/>
                <w:szCs w:val="24"/>
                <w:highlight w:val="lightGray"/>
              </w:rPr>
              <w:t xml:space="preserve">Подрядчика</w:t>
            </w:r>
            <w:r>
              <w:rPr>
                <w:bCs/>
                <w:sz w:val="24"/>
                <w:szCs w:val="24"/>
                <w:highlight w:val="lightGray"/>
              </w:rPr>
              <w:t xml:space="preserve"> (замечания и недостатки) к месту</w:t>
            </w:r>
            <w:r>
              <w:rPr>
                <w:sz w:val="24"/>
                <w:szCs w:val="24"/>
                <w:highlight w:val="lightGray"/>
              </w:rPr>
              <w:t xml:space="preserve">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</w:t>
            </w:r>
            <w:r>
              <w:rPr>
                <w:bCs/>
                <w:sz w:val="24"/>
                <w:szCs w:val="24"/>
                <w:highlight w:val="lightGray"/>
              </w:rPr>
              <w:t xml:space="preserve">: _______________________________________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  <w:highlight w:val="lightGray"/>
              </w:rPr>
              <w:t xml:space="preserve"> </w:t>
            </w:r>
            <w:r>
              <w:rPr>
                <w:sz w:val="24"/>
                <w:szCs w:val="24"/>
                <w:highlight w:val="lightGray"/>
              </w:rPr>
              <w:t xml:space="preserve">(</w:t>
            </w:r>
            <w:r>
              <w:rPr>
                <w:i/>
                <w:sz w:val="24"/>
                <w:szCs w:val="24"/>
                <w:highlight w:val="lightGray"/>
              </w:rPr>
              <w:t xml:space="preserve">указать конкретные претензии или указать «не имеются»)</w:t>
            </w:r>
            <w:r>
              <w:rPr>
                <w:sz w:val="24"/>
                <w:szCs w:val="24"/>
                <w:highlight w:val="lightGray"/>
              </w:rPr>
              <w:t xml:space="preserve">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</w:rPr>
                    <w:t xml:space="preserve">Заказчик:</w:t>
                  </w:r>
                  <w:r/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</w:rPr>
                    <w:t xml:space="preserve">Подрядчик:</w:t>
                  </w:r>
                  <w:r/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240"/>
              <w:widowControl w:val="false"/>
              <w:pBdr/>
              <w:shd w:val="clear" w:color="auto" w:fill="auto"/>
              <w:spacing w:after="120" w:before="0"/>
              <w:ind w:right="0" w:firstLine="0" w:left="0"/>
              <w:jc w:val="left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240"/>
        <w:pBdr/>
        <w:spacing/>
        <w:ind w:right="0" w:firstLine="0" w:left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3.2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240"/>
        <w:pBdr/>
        <w:shd w:val="clear" w:color="auto" w:fill="auto"/>
        <w:spacing/>
        <w:ind w:right="0" w:firstLine="0" w:left="0"/>
        <w:rPr/>
      </w:pPr>
      <w:r>
        <w:rPr>
          <w:sz w:val="24"/>
        </w:rPr>
        <w:t xml:space="preserve">ФОРМА</w:t>
      </w:r>
      <w:r/>
    </w:p>
    <w:p>
      <w:pPr>
        <w:pStyle w:val="1240"/>
        <w:pBdr/>
        <w:shd w:val="clear" w:color="auto" w:fill="auto"/>
        <w:spacing/>
        <w:ind w:right="0" w:firstLine="0" w:left="0"/>
        <w:rPr/>
      </w:pPr>
      <w:r>
        <w:rPr>
          <w:sz w:val="24"/>
        </w:rPr>
        <w:t xml:space="preserve">Акта сдачи-приемки технической и иной документации </w:t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240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/>
          </w:p>
          <w:p>
            <w:pPr>
              <w:pStyle w:val="1240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технической и иной документации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«_____» _________20_г.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 xml:space="preserve"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/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/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71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240"/>
              <w:widowControl w:val="false"/>
              <w:pBdr/>
              <w:shd w:val="clear" w:color="auto" w:fill="auto"/>
              <w:spacing w:line="240" w:lineRule="auto"/>
              <w:ind w:right="0" w:firstLine="0" w:left="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240"/>
              <w:widowControl w:val="false"/>
              <w:pBdr/>
              <w:shd w:val="clear" w:color="auto" w:fill="auto"/>
              <w:spacing w:after="120" w:before="0"/>
              <w:ind w:right="0" w:firstLine="0" w:left="0"/>
              <w:jc w:val="left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240"/>
        <w:pBdr/>
        <w:spacing/>
        <w:ind w:right="0" w:firstLine="0" w:left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jc w:val="right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br w:type="page" w:clear="all"/>
      </w:r>
      <w:r>
        <w:rPr>
          <w:sz w:val="22"/>
          <w:szCs w:val="22"/>
        </w:rPr>
        <w:t xml:space="preserve">Приложение № 4</w:t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sz w:val="24"/>
        </w:rPr>
        <w:t xml:space="preserve">Перечень допусков, разрешений и лицензий Подрядчика</w:t>
      </w:r>
      <w:r/>
    </w:p>
    <w:p>
      <w:pPr>
        <w:pStyle w:val="1171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2"/>
        <w:gridCol w:w="1471"/>
        <w:gridCol w:w="1321"/>
        <w:gridCol w:w="1592"/>
        <w:gridCol w:w="1187"/>
        <w:gridCol w:w="1322"/>
        <w:gridCol w:w="1655"/>
      </w:tblGrid>
      <w:tr>
        <w:trPr>
          <w:trHeight w:val="21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Разрешительный документ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/>
          </w:p>
        </w:tc>
      </w:tr>
      <w:tr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71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5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/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/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/>
    </w:p>
    <w:p>
      <w:pPr>
        <w:pStyle w:val="1171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643"/>
        <w:gridCol w:w="541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250 000 (двести пятьдесят тысяч) рублей за каждый случай нарушения.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/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71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jc w:val="left"/>
        <w:rPr>
          <w:sz w:val="22"/>
          <w:szCs w:val="22"/>
        </w:rPr>
      </w:pPr>
      <w:r>
        <w:rPr>
          <w:sz w:val="22"/>
          <w:szCs w:val="22"/>
        </w:rPr>
      </w:r>
      <w:bookmarkStart w:id="40" w:name="RANGE!A1%2525252525252525252525252525253"/>
      <w:r/>
      <w:bookmarkStart w:id="41" w:name="RANGE!A1%2525252525252525252525252525253"/>
      <w:r/>
      <w:bookmarkEnd w:id="40"/>
      <w:r/>
      <w:bookmarkEnd w:id="41"/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6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71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  <w:r/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необходимых для исполнения Подрядчиком обязательств по Договору</w:t>
      </w:r>
      <w:r/>
    </w:p>
    <w:p>
      <w:pPr>
        <w:pStyle w:val="1171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229"/>
        <w:numPr>
          <w:ilvl w:val="0"/>
          <w:numId w:val="23"/>
        </w:numPr>
        <w:pBdr/>
        <w:tabs>
          <w:tab w:val="left" w:leader="none" w:pos="284"/>
          <w:tab w:val="clear" w:leader="none" w:pos="708"/>
        </w:tabs>
        <w:spacing/>
        <w:ind w:right="0" w:firstLine="0" w:left="0"/>
        <w:jc w:val="center"/>
        <w:rPr/>
      </w:pPr>
      <w:r>
        <w:rPr>
          <w:b/>
        </w:rPr>
        <w:t xml:space="preserve">Общие положения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В целях оказания содействия Подрядчику в выполнении р</w:t>
      </w:r>
      <w:r>
        <w:rPr>
          <w:sz w:val="24"/>
          <w:szCs w:val="24"/>
        </w:rPr>
        <w:t xml:space="preserve">або</w:t>
      </w:r>
      <w:r>
        <w:rPr>
          <w:sz w:val="24"/>
          <w:szCs w:val="24"/>
        </w:rPr>
        <w:t xml:space="preserve">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оказания услуг» Технического требования (Приложение № 1 к Договору).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Техническое требование содержит полный перечень услуг (количественные, качественные и иные характеристики, время и место их предоставления, ограничения).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требовании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  <w:r/>
    </w:p>
    <w:p>
      <w:pPr>
        <w:pStyle w:val="1171"/>
        <w:numPr>
          <w:ilvl w:val="0"/>
          <w:numId w:val="45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Перемещение грузов грузоподъемными механизмами Заказчика.</w:t>
      </w:r>
      <w:r/>
    </w:p>
    <w:p>
      <w:pPr>
        <w:pStyle w:val="1171"/>
        <w:numPr>
          <w:ilvl w:val="0"/>
          <w:numId w:val="46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Коммунальные ресурсы:</w:t>
      </w:r>
      <w:r/>
    </w:p>
    <w:p>
      <w:pPr>
        <w:pStyle w:val="1171"/>
        <w:numPr>
          <w:ilvl w:val="1"/>
          <w:numId w:val="47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Электроэнергия.</w:t>
      </w:r>
      <w:r/>
    </w:p>
    <w:p>
      <w:pPr>
        <w:pStyle w:val="1171"/>
        <w:numPr>
          <w:ilvl w:val="1"/>
          <w:numId w:val="48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Водоснабжение и водоотведение.</w:t>
      </w:r>
      <w:r/>
    </w:p>
    <w:p>
      <w:pPr>
        <w:pStyle w:val="1171"/>
        <w:numPr>
          <w:ilvl w:val="1"/>
          <w:numId w:val="49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Сжатый воздух.</w:t>
      </w:r>
      <w:r/>
    </w:p>
    <w:p>
      <w:pPr>
        <w:pStyle w:val="1171"/>
        <w:numPr>
          <w:ilvl w:val="0"/>
          <w:numId w:val="50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Обеспечение санитарно-гигиенических и бытовых условий.</w:t>
      </w:r>
      <w:r/>
    </w:p>
    <w:p>
      <w:pPr>
        <w:pStyle w:val="1171"/>
        <w:numPr>
          <w:ilvl w:val="0"/>
          <w:numId w:val="51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Содержание пожарной и сторожевой охраны.</w:t>
      </w:r>
      <w:r/>
    </w:p>
    <w:p>
      <w:pPr>
        <w:pStyle w:val="1171"/>
        <w:numPr>
          <w:ilvl w:val="0"/>
          <w:numId w:val="52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Благоустройство и содержание строительных площадок.</w:t>
      </w:r>
      <w:r/>
    </w:p>
    <w:p>
      <w:pPr>
        <w:pStyle w:val="1171"/>
        <w:numPr>
          <w:ilvl w:val="0"/>
          <w:numId w:val="53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Проведение химического анализа масел.</w:t>
      </w:r>
      <w:r/>
    </w:p>
    <w:p>
      <w:pPr>
        <w:pStyle w:val="1171"/>
        <w:numPr>
          <w:ilvl w:val="0"/>
          <w:numId w:val="54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Осушение оборудования (проточная часть гидроагрегата).</w:t>
      </w:r>
      <w:r/>
    </w:p>
    <w:p>
      <w:pPr>
        <w:pStyle w:val="1171"/>
        <w:numPr>
          <w:ilvl w:val="0"/>
          <w:numId w:val="55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 xml:space="preserve">IntraNet</w:t>
      </w:r>
      <w:r>
        <w:rPr>
          <w:sz w:val="24"/>
          <w:szCs w:val="24"/>
        </w:rPr>
        <w:t xml:space="preserve">.</w:t>
      </w:r>
      <w:r/>
    </w:p>
    <w:p>
      <w:pPr>
        <w:pStyle w:val="1171"/>
        <w:numPr>
          <w:ilvl w:val="0"/>
          <w:numId w:val="56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помещений:</w:t>
      </w:r>
      <w:r/>
    </w:p>
    <w:p>
      <w:pPr>
        <w:pStyle w:val="1171"/>
        <w:numPr>
          <w:ilvl w:val="1"/>
          <w:numId w:val="57"/>
        </w:numPr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  <w:r/>
    </w:p>
    <w:p>
      <w:pPr>
        <w:pStyle w:val="1171"/>
        <w:numPr>
          <w:ilvl w:val="1"/>
          <w:numId w:val="58"/>
        </w:numPr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оборудования Подрядчика.</w:t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9"/>
        <w:numPr>
          <w:ilvl w:val="0"/>
          <w:numId w:val="23"/>
        </w:numPr>
        <w:pBdr/>
        <w:tabs>
          <w:tab w:val="left" w:leader="none" w:pos="284"/>
          <w:tab w:val="clear" w:leader="none" w:pos="708"/>
          <w:tab w:val="left" w:leader="none" w:pos="1418"/>
        </w:tabs>
        <w:spacing/>
        <w:ind w:right="0" w:firstLine="0" w:left="0"/>
        <w:jc w:val="center"/>
        <w:rPr/>
      </w:pPr>
      <w:r>
        <w:rPr>
          <w:b/>
        </w:rPr>
        <w:t xml:space="preserve">Порядок предоставления ресурсов и услуг</w:t>
      </w:r>
      <w:r/>
    </w:p>
    <w:p>
      <w:pPr>
        <w:pStyle w:val="1229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/>
        <w:ind w:right="0" w:firstLine="0" w:left="0"/>
        <w:contextualSpacing w:val="true"/>
        <w:jc w:val="both"/>
        <w:rPr/>
      </w:pPr>
      <w:r>
        <w:rPr>
          <w:u w:val="single"/>
        </w:rPr>
        <w:t xml:space="preserve">Перемещение грузов грузоподъемными механизмами (далее – ГПМ) Заказчика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  <w:r/>
    </w:p>
    <w:p>
      <w:pPr>
        <w:pStyle w:val="1229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/>
        <w:ind w:right="0" w:firstLine="0" w:left="0"/>
        <w:contextualSpacing w:val="true"/>
        <w:rPr/>
      </w:pPr>
      <w:r>
        <w:rPr>
          <w:u w:val="single"/>
        </w:rPr>
        <w:t xml:space="preserve">Предоставление ресурсов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  <w:r/>
    </w:p>
    <w:p>
      <w:pPr>
        <w:pStyle w:val="1229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/>
        <w:ind w:right="0" w:firstLine="0" w:left="0"/>
        <w:contextualSpacing w:val="true"/>
        <w:jc w:val="both"/>
        <w:rPr/>
      </w:pPr>
      <w:r>
        <w:rPr>
          <w:u w:val="single"/>
        </w:rPr>
        <w:t xml:space="preserve">Обеспечение санитарно-гигиенических и бытовых условий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Заказчик по установленным нормам оборудует санитарно-быт</w:t>
      </w:r>
      <w:r>
        <w:rPr>
          <w:bCs/>
          <w:sz w:val="24"/>
          <w:szCs w:val="24"/>
        </w:rPr>
        <w:t xml:space="preserve">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  <w:r/>
    </w:p>
    <w:p>
      <w:pPr>
        <w:pStyle w:val="1171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Содержание пожарной и сторожевой охраны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  <w:r/>
    </w:p>
    <w:p>
      <w:pPr>
        <w:pStyle w:val="1171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Благоустройство и содержание строительных площадок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  <w:r/>
    </w:p>
    <w:p>
      <w:pPr>
        <w:pStyle w:val="117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</w:t>
      </w:r>
      <w:r>
        <w:rPr>
          <w:sz w:val="24"/>
          <w:szCs w:val="24"/>
        </w:rPr>
        <w:t xml:space="preserve">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  <w:r/>
    </w:p>
    <w:p>
      <w:pPr>
        <w:pStyle w:val="1171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Проведение химического анализа масел</w:t>
      </w:r>
      <w:r/>
    </w:p>
    <w:p>
      <w:pPr>
        <w:pStyle w:val="1171"/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  <w:r/>
    </w:p>
    <w:p>
      <w:pPr>
        <w:pStyle w:val="1171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Осушение оборудования (проточная часть гидроагрегата)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по письменной заявке Подрядчика осуществляет осушение проточной части гидроагрегата в соответствии с утвержденным графиком.</w:t>
      </w:r>
      <w:r/>
    </w:p>
    <w:p>
      <w:pPr>
        <w:pStyle w:val="1171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Порядок предоставления помещений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</w:t>
      </w:r>
      <w:r>
        <w:rPr>
          <w:bCs/>
          <w:sz w:val="24"/>
          <w:szCs w:val="24"/>
        </w:rPr>
        <w:t xml:space="preserve">ка; складские помещения и / или площадки для погрузки / разгрузки/ складирования / хранения материально-технических ресурсов, оборудования подрядчика и иного переданного Заказчиком имущества)</w:t>
      </w:r>
      <w:r>
        <w:rPr>
          <w:sz w:val="24"/>
          <w:szCs w:val="24"/>
        </w:rPr>
        <w:t xml:space="preserve">, необходимыми для размещения персонала и хранения материально-технических ресурсов и оборудования, выполнения Работ по Договору.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Передача помещений осуществляется на основании акта сдачи-приемки по форме, согласованной Сторонами.</w:t>
      </w:r>
      <w:r/>
    </w:p>
    <w:p>
      <w:pPr>
        <w:pStyle w:val="1171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 xml:space="preserve"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</w:t>
      </w:r>
      <w:r>
        <w:rPr>
          <w:bCs/>
          <w:sz w:val="24"/>
          <w:szCs w:val="24"/>
        </w:rPr>
        <w:t xml:space="preserve">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  <w:r/>
    </w:p>
    <w:tbl>
      <w:tblPr>
        <w:tblW w:w="9639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4995"/>
      </w:tblGrid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shd w:val="clear" w:color="auto" w:fill="auto"/>
            <w:tcBorders/>
            <w:tcW w:w="499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5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 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rPr/>
        <w:sectPr>
          <w:headerReference w:type="default" r:id="rId11"/>
          <w:headerReference w:type="first" r:id="rId12"/>
          <w:footerReference w:type="default" r:id="rId16"/>
          <w:footerReference w:type="first" r:id="rId17"/>
          <w:footnotePr>
            <w:numFmt w:val="decimal"/>
          </w:footnotePr>
          <w:endnotePr/>
          <w:type w:val="nextPage"/>
          <w:pgSz w:h="16838" w:orient="portrait" w:w="11906"/>
          <w:pgMar w:top="624" w:right="567" w:bottom="567" w:left="1418" w:header="567" w:footer="284" w:gutter="0"/>
          <w:cols w:num="1" w:sep="0" w:space="1701" w:equalWidth="1"/>
        </w:sectPr>
      </w:pPr>
      <w:r/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Приложение № 7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к Договору подряда</w:t>
      </w:r>
      <w:r/>
    </w:p>
    <w:p>
      <w:pPr>
        <w:pStyle w:val="1171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от «____» __________ 20__ № ____</w:t>
      </w:r>
      <w:r/>
    </w:p>
    <w:p>
      <w:pPr>
        <w:pStyle w:val="1171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Соглашение об обеспечении охраны труда, промышленной, пожарной и экологической безопасности</w:t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1.</w:t>
        <w:tab/>
        <w:t xml:space="preserve">Подрядчик обязуется на территории, а также в зданиях и сооружениях Заказчика: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1.1.</w:t>
        <w:tab/>
        <w:t xml:space="preserve"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1.2.</w:t>
        <w:tab/>
        <w:t xml:space="preserve">обеспечить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1.3.</w:t>
        <w:tab/>
        <w:t xml:space="preserve">обеспечить безопасную организацию  и контроль за производством работ;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1.4.</w:t>
        <w:tab/>
        <w:t xml:space="preserve">обеспечить выполнение мероприятий по обес</w:t>
      </w:r>
      <w:r>
        <w:rPr>
          <w:sz w:val="24"/>
          <w:szCs w:val="24"/>
        </w:rPr>
        <w:t xml:space="preserve">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1.5.</w:t>
        <w:tab/>
        <w:t xml:space="preserve"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1.6.</w:t>
        <w:tab/>
        <w:t xml:space="preserve">по письменному запросу Заказчика  предоставлять документы, подтверждающие наличие обучения и необходимых допусков сотрудников Подрядчика к  работам повышенной опасности;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1.7.</w:t>
        <w:tab/>
        <w:t xml:space="preserve"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1.8.</w:t>
        <w:tab/>
        <w:t xml:space="preserve">обеспечить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1.9.</w:t>
        <w:tab/>
        <w:t xml:space="preserve">содержать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1.10.</w:t>
        <w:tab/>
        <w:t xml:space="preserve"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1.11.</w:t>
        <w:tab/>
        <w:t xml:space="preserve">выполнять работы в соответствии с проектной документацией и технологическими регламентами;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1.12.</w:t>
        <w:tab/>
        <w:t xml:space="preserve">самостоятельно осуществлять постановку на государственный учет объектов, оказывающих негативное воздействие на окружающую </w:t>
      </w:r>
      <w:r>
        <w:rPr>
          <w:sz w:val="24"/>
          <w:szCs w:val="24"/>
        </w:rPr>
        <w:t xml:space="preserve">среду, производственный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</w:t>
      </w:r>
      <w:r>
        <w:rPr>
          <w:sz w:val="24"/>
          <w:szCs w:val="24"/>
        </w:rPr>
        <w:t xml:space="preserve">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1.13.</w:t>
        <w:tab/>
        <w:t xml:space="preserve">за свой счет обеспечить сбор и </w:t>
      </w:r>
      <w:r>
        <w:rPr>
          <w:sz w:val="24"/>
          <w:szCs w:val="24"/>
        </w:rPr>
        <w:t xml:space="preserve">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1.14.</w:t>
        <w:tab/>
        <w:t xml:space="preserve"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1.15.</w:t>
        <w:tab/>
        <w:t xml:space="preserve"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1.16.</w:t>
        <w:tab/>
        <w:t xml:space="preserve">использовать в производстве химреагенты, имеющие паспорта безопасности;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1.17.</w:t>
        <w:tab/>
        <w:t xml:space="preserve"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1.18.</w:t>
        <w:tab/>
        <w:t xml:space="preserve">незамедлительно сообщать Заказчику о несчастных случаях на производстве, происшедших на территории компании с персоналом Подрядчика;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1.19.</w:t>
        <w:tab/>
        <w:t xml:space="preserve">информировать Заказчика обо всех случаях нарушения природоохранного законодательства;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1.20.</w:t>
        <w:tab/>
        <w:t xml:space="preserve">обеспечить доступ и необходимые условия для проведения проверок безопасной организации работ должностными лицами Заказчика;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1.21.</w:t>
        <w:tab/>
        <w:t xml:space="preserve">обеспечить разработку и выполнение мероприятий по устранению замечаний, выявленных Заказчиком;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1.22.</w:t>
        <w:tab/>
        <w:t xml:space="preserve">незамедлительно отстранять от работы своих сотрудников, находящихся в состоянии алкогольного, наркотического и иного токсического опьянения.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Подрядчик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ab/>
        <w:t xml:space="preserve">В случае невыполнения или ненадлежащего выполнения</w:t>
      </w:r>
      <w:r>
        <w:rPr>
          <w:sz w:val="24"/>
          <w:szCs w:val="24"/>
        </w:rPr>
        <w:t xml:space="preserve"> Подрядчиком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нанесенного окружающей среде.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ab/>
        <w:t xml:space="preserve">Подрядчик ежеквартально представляе</w:t>
      </w:r>
      <w:r>
        <w:rPr>
          <w:sz w:val="24"/>
          <w:szCs w:val="24"/>
        </w:rPr>
        <w:t xml:space="preserve">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a)</w:t>
        <w:tab/>
        <w:t xml:space="preserve">все случаи производственного травматизма при выполнении работ в интересах Заказчика;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b)</w:t>
        <w:tab/>
        <w:t xml:space="preserve">все прочие аварии, инциденты, </w:t>
      </w:r>
      <w:r>
        <w:rPr>
          <w:sz w:val="24"/>
          <w:szCs w:val="24"/>
        </w:rPr>
        <w:t xml:space="preserve">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c)</w:t>
        <w:tab/>
        <w:t xml:space="preserve">все дорожно-транспортные происшествия, относящиеся к тому периоду времени, когда Подрядчик выполнял работы для Заказчика;  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d)</w:t>
        <w:tab/>
        <w:t xml:space="preserve"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судебном разбирательстве;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e)</w:t>
        <w:tab/>
        <w:t xml:space="preserve">любое другое событие, подлежащее сообщению компетентному государственному органу; 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f)</w:t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  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g)</w:t>
        <w:tab/>
        <w:t xml:space="preserve">оценочное общее количество рабочих часов, отработан</w:t>
      </w:r>
      <w:r>
        <w:rPr>
          <w:sz w:val="24"/>
          <w:szCs w:val="24"/>
        </w:rPr>
        <w:t xml:space="preserve">ных персоналом группы Подрядчика  на месте проведения работ, общее число работников группы Подрядчика на месте проведения работ, а также суммарный пробег транспортных средств группы Подрядчика, задействованных при выполнении работ в интересах Заказчика.   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Кроме указанного отчета, Подрядчик обязан соблюдать требования Заказчика в отношении отчетности по авариям и несчастным случаям и процедуры расследования происшествий.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Подрядчик обязуется соблюдать Корпоративные стандарты АО «Сахаэнерго».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2.</w:t>
        <w:tab/>
        <w:t xml:space="preserve">Заказчик обязуется: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2.1.</w:t>
        <w:tab/>
        <w:t xml:space="preserve">провести  и оформить вводный, первичный, целевой (при необходимости)  инструктажи с работниками Подрядчика;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2.2.</w:t>
        <w:tab/>
        <w:t xml:space="preserve">оформить и передать Подрядчику Акт-допуск (наряд-допуск) для производства работ Подрядчиком;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2.3.</w:t>
        <w:tab/>
        <w:t xml:space="preserve">выполнить мероприятия в соответствии с переданными Заказчику Актом-допуском</w:t>
      </w:r>
      <w:r>
        <w:rPr>
          <w:sz w:val="24"/>
          <w:szCs w:val="24"/>
        </w:rPr>
        <w:t xml:space="preserve"> 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Подрядчику территории (зданиях, оборудовании);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2.4.</w:t>
        <w:tab/>
        <w:t xml:space="preserve">предоставить Подрядчику организованные места для складирования отходов, в случае, если это предусмотрено Договором;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2.5.</w:t>
        <w:tab/>
        <w:t xml:space="preserve">сообщать Подрядчику о несчастных случаях на производстве происшедших на территории Заказчика с персоналом Подрядчика;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2.6.</w:t>
        <w:tab/>
        <w:t xml:space="preserve">своевременно сообщать подрядчику обо всех  изменениях, которые могут повлиять на безопасность  персонала Подрядчика;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2.7.</w:t>
        <w:tab/>
        <w:t xml:space="preserve"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2.8.</w:t>
        <w:tab/>
        <w:t xml:space="preserve">сообщать Подрядчику о его сотрудниках, находящихся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3.</w:t>
        <w:tab/>
        <w:t xml:space="preserve">Заказчик имеет право: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3.1.</w:t>
        <w:tab/>
        <w:t xml:space="preserve">проводить проверки обеспечения безопасного производства работ Подрядчиком;</w:t>
      </w:r>
      <w:r/>
    </w:p>
    <w:p>
      <w:pPr>
        <w:pStyle w:val="1171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3.2.</w:t>
        <w:tab/>
        <w:t xml:space="preserve">удалять с территории Заказчика персонал Подрядчика не прошедший вводный инструктаж, не имеющий соответствующих удостове</w:t>
      </w:r>
      <w:r>
        <w:rPr>
          <w:sz w:val="24"/>
          <w:szCs w:val="24"/>
        </w:rPr>
        <w:t xml:space="preserve">рений на право выполнения работы повышенной опасности, а также нарушающий требования охраны труда и пожарной безопасности с последующим уведомлением Подрядчика, а также находящийся в состоянии алкогольного, наркотического или иного токсического опьянения. </w:t>
      </w:r>
      <w:r/>
    </w:p>
    <w:p>
      <w:pPr>
        <w:pStyle w:val="1171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auto" w:fill="auto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</w:t>
            </w:r>
            <w:r/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shd w:val="clear" w:color="auto" w:fill="auto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</w:t>
            </w:r>
            <w:r/>
          </w:p>
        </w:tc>
      </w:tr>
    </w:tbl>
    <w:p>
      <w:pPr>
        <w:pStyle w:val="1171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Приложение № 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к Договору подряда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от «____» __________ 20 _ г. № 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Соглашение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об использовании электронного документооборот</w:t>
      </w:r>
      <w:r>
        <w:rPr>
          <w:b w:val="0"/>
          <w:bCs w:val="0"/>
          <w:color w:val="auto"/>
          <w:sz w:val="24"/>
          <w:szCs w:val="24"/>
        </w:rPr>
        <w:t xml:space="preserve">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Термины и определения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Для целей настоящего Соглашения используются следующие понятия и определения: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«Входящий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получаемый Получающей стороной через ЭДО.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«Документ»</w:t>
      </w:r>
      <w:r>
        <w:rPr>
          <w:b w:val="0"/>
          <w:bCs w:val="0"/>
          <w:color w:val="auto"/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«Исходящий документ» </w:t>
      </w:r>
      <w:r>
        <w:rPr>
          <w:b w:val="0"/>
          <w:bCs w:val="0"/>
          <w:color w:val="auto"/>
          <w:sz w:val="24"/>
          <w:szCs w:val="24"/>
        </w:rPr>
        <w:t xml:space="preserve">– документ, создаваемый Направляющей стороной в рамках осуществления финансово-хозяйственной деятельности для отправки через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«Квалифицированная электронная подпись (КЭП)» </w:t>
      </w:r>
      <w:r>
        <w:rPr>
          <w:b w:val="0"/>
          <w:bCs w:val="0"/>
          <w:color w:val="auto"/>
          <w:sz w:val="24"/>
          <w:szCs w:val="24"/>
        </w:rPr>
        <w:t xml:space="preserve"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«Оператор» </w:t>
      </w:r>
      <w:r>
        <w:rPr>
          <w:b w:val="0"/>
          <w:bCs w:val="0"/>
          <w:color w:val="auto"/>
          <w:sz w:val="24"/>
          <w:szCs w:val="24"/>
        </w:rPr>
        <w:t xml:space="preserve"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«Направляющая Сторона» </w:t>
      </w:r>
      <w:r>
        <w:rPr>
          <w:b w:val="0"/>
          <w:bCs w:val="0"/>
          <w:color w:val="auto"/>
          <w:sz w:val="24"/>
          <w:szCs w:val="24"/>
        </w:rPr>
        <w:t xml:space="preserve">– Сторона ЭДО, которая направляет посредством системы ЭДО другой Стороне Документ, подписанный КЭП.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«Неформализованный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«Получающая Сторона» </w:t>
      </w:r>
      <w:r>
        <w:rPr>
          <w:b w:val="0"/>
          <w:bCs w:val="0"/>
          <w:color w:val="auto"/>
          <w:sz w:val="24"/>
          <w:szCs w:val="24"/>
        </w:rPr>
        <w:t xml:space="preserve">– Сторона ЭДО, которая получает посредством системы ЭДО Документ, подписанный КЭП другой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«Прямой обмен (ПО)» </w:t>
      </w:r>
      <w:r>
        <w:rPr>
          <w:b w:val="0"/>
          <w:bCs w:val="0"/>
          <w:color w:val="auto"/>
          <w:sz w:val="24"/>
          <w:szCs w:val="24"/>
        </w:rPr>
        <w:t xml:space="preserve">– обмен электронными документами между хозяйствующими субъектами без участия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«Удостоверяющий центр (УЦ)»</w:t>
      </w:r>
      <w:r>
        <w:rPr>
          <w:b w:val="0"/>
          <w:bCs w:val="0"/>
          <w:color w:val="auto"/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pBdr/>
        <w:spacing w:line="240" w:lineRule="auto"/>
        <w:ind/>
        <w:rPr>
          <w:sz w:val="24"/>
          <w:szCs w:val="24"/>
        </w:rPr>
      </w:pPr>
      <w:r>
        <w:rPr>
          <w:b/>
          <w:bCs/>
          <w:color w:val="auto"/>
          <w:sz w:val="24"/>
          <w:szCs w:val="24"/>
          <w:lang w:val="ru-RU" w:eastAsia="en-US"/>
        </w:rPr>
        <w:t xml:space="preserve">«УПД»</w:t>
      </w:r>
      <w:r>
        <w:rPr>
          <w:b w:val="0"/>
          <w:bCs w:val="0"/>
          <w:color w:val="auto"/>
          <w:sz w:val="24"/>
          <w:szCs w:val="24"/>
          <w:lang w:val="ru-RU" w:eastAsia="en-US"/>
        </w:rPr>
        <w:t xml:space="preserve"> - универсальный передаточный документ.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«Формализованный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«Электронный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«Электронный документооборот (ЭДО)»</w:t>
      </w:r>
      <w:r>
        <w:rPr>
          <w:b w:val="0"/>
          <w:bCs w:val="0"/>
          <w:color w:val="auto"/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соответствующей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0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</w:t>
      </w:r>
      <w:r>
        <w:rPr>
          <w:b/>
          <w:bCs/>
          <w:color w:val="auto"/>
          <w:sz w:val="24"/>
          <w:szCs w:val="24"/>
        </w:rPr>
        <w:t xml:space="preserve">1. Предмет соглашения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</w:t>
      </w:r>
      <w:r>
        <w:rPr>
          <w:b w:val="0"/>
          <w:bCs w:val="0"/>
          <w:color w:val="auto"/>
          <w:sz w:val="24"/>
          <w:szCs w:val="24"/>
        </w:rPr>
        <w:t xml:space="preserve">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</w:t>
      </w:r>
      <w:r>
        <w:rPr>
          <w:b w:val="0"/>
          <w:bCs w:val="0"/>
          <w:color w:val="auto"/>
          <w:sz w:val="24"/>
          <w:szCs w:val="24"/>
        </w:rPr>
        <w:t xml:space="preserve">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Стороны для органи</w:t>
      </w:r>
      <w:r>
        <w:rPr>
          <w:b w:val="0"/>
          <w:bCs w:val="0"/>
          <w:color w:val="auto"/>
          <w:sz w:val="24"/>
          <w:szCs w:val="24"/>
        </w:rPr>
        <w:t xml:space="preserve">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N 63-ФЗ.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1.3. Стороны признают, что получение документов в электронном виде и подписанных КЭП в порядке, установленном нас</w:t>
      </w:r>
      <w:r>
        <w:rPr>
          <w:b w:val="0"/>
          <w:bCs w:val="0"/>
          <w:color w:val="auto"/>
          <w:sz w:val="24"/>
          <w:szCs w:val="24"/>
        </w:rPr>
        <w:t xml:space="preserve">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</w:t>
      </w:r>
      <w:r>
        <w:rPr>
          <w:b w:val="0"/>
          <w:bCs w:val="0"/>
          <w:color w:val="auto"/>
          <w:sz w:val="24"/>
          <w:szCs w:val="24"/>
        </w:rPr>
        <w:t xml:space="preserve">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2. Признание электронных документов равнозначными документам на бумажном носителе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</w:t>
      </w:r>
      <w:r>
        <w:rPr>
          <w:b w:val="0"/>
          <w:bCs w:val="0"/>
          <w:color w:val="auto"/>
          <w:sz w:val="24"/>
          <w:szCs w:val="24"/>
        </w:rPr>
        <w:t xml:space="preserve">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</w:t>
      </w:r>
      <w:r>
        <w:rPr>
          <w:b w:val="0"/>
          <w:bCs w:val="0"/>
          <w:color w:val="auto"/>
          <w:sz w:val="24"/>
          <w:szCs w:val="24"/>
        </w:rPr>
        <w:t xml:space="preserve">умента каждой из Сторон. Доказательством 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2.3. Каждая из</w:t>
      </w:r>
      <w:r>
        <w:rPr>
          <w:b w:val="0"/>
          <w:bCs w:val="0"/>
          <w:color w:val="auto"/>
          <w:sz w:val="24"/>
          <w:szCs w:val="24"/>
        </w:rPr>
        <w:t xml:space="preserve">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</w:t>
      </w:r>
      <w:r>
        <w:rPr>
          <w:b w:val="0"/>
          <w:bCs w:val="0"/>
          <w:color w:val="auto"/>
          <w:sz w:val="24"/>
          <w:szCs w:val="24"/>
        </w:rPr>
        <w:t xml:space="preserve">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2.4. При компрометации или подозрении на компрометацию ключа КЭП, т.е. при ознакомлении или подозрении на ознакомление неуполно</w:t>
      </w:r>
      <w:r>
        <w:rPr>
          <w:b w:val="0"/>
          <w:bCs w:val="0"/>
          <w:color w:val="auto"/>
          <w:sz w:val="24"/>
          <w:szCs w:val="24"/>
        </w:rPr>
        <w:t xml:space="preserve">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</w:t>
      </w:r>
      <w:r>
        <w:rPr>
          <w:b w:val="0"/>
          <w:bCs w:val="0"/>
          <w:color w:val="auto"/>
          <w:sz w:val="24"/>
          <w:szCs w:val="24"/>
        </w:rPr>
        <w:t xml:space="preserve">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</w:t>
      </w:r>
      <w:r>
        <w:rPr>
          <w:b w:val="0"/>
          <w:bCs w:val="0"/>
          <w:color w:val="auto"/>
          <w:sz w:val="24"/>
          <w:szCs w:val="24"/>
        </w:rPr>
        <w:t xml:space="preserve">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2.5. В случаях выдачи новых, замены, уничтожен</w:t>
      </w:r>
      <w:r>
        <w:rPr>
          <w:b w:val="0"/>
          <w:bCs w:val="0"/>
          <w:color w:val="auto"/>
          <w:sz w:val="24"/>
          <w:szCs w:val="24"/>
        </w:rPr>
        <w:t xml:space="preserve">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предполагаемых сроках их устранения.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2.9. Стороны признают, чт</w:t>
      </w:r>
      <w:r>
        <w:rPr>
          <w:b w:val="0"/>
          <w:bCs w:val="0"/>
          <w:color w:val="auto"/>
          <w:sz w:val="24"/>
          <w:szCs w:val="24"/>
        </w:rPr>
        <w:t xml:space="preserve">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 даты подписания настоящего Соглашения оформление таких же документов на бумажном но</w:t>
      </w:r>
      <w:r>
        <w:rPr>
          <w:b w:val="0"/>
          <w:bCs w:val="0"/>
          <w:color w:val="auto"/>
          <w:sz w:val="24"/>
          <w:szCs w:val="24"/>
        </w:rPr>
        <w:t xml:space="preserve">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2.10. Стороны признают, что полученные электронные документы, подписан</w:t>
      </w:r>
      <w:r>
        <w:rPr>
          <w:b w:val="0"/>
          <w:bCs w:val="0"/>
          <w:color w:val="auto"/>
          <w:sz w:val="24"/>
          <w:szCs w:val="24"/>
        </w:rPr>
        <w:t xml:space="preserve">ные КЭП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</w:t>
      </w:r>
      <w:r>
        <w:rPr>
          <w:b w:val="0"/>
          <w:bCs w:val="0"/>
          <w:color w:val="auto"/>
          <w:sz w:val="24"/>
          <w:szCs w:val="24"/>
        </w:rPr>
        <w:t xml:space="preserve">ектронного документа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3. Условия действительности КЭП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квалифицированный сертификат дей</w:t>
      </w:r>
      <w:r>
        <w:rPr>
          <w:b w:val="0"/>
          <w:bCs w:val="0"/>
          <w:color w:val="auto"/>
          <w:sz w:val="24"/>
          <w:szCs w:val="24"/>
        </w:rPr>
        <w:t xml:space="preserve">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имеется положительный результат проверки принадлежности владельцу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</w:t>
      </w:r>
      <w:r>
        <w:rPr>
          <w:b w:val="0"/>
          <w:bCs w:val="0"/>
          <w:color w:val="auto"/>
          <w:sz w:val="24"/>
          <w:szCs w:val="24"/>
        </w:rPr>
        <w:t xml:space="preserve">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3.3. Стороны обязаны по необходимос</w:t>
      </w:r>
      <w:r>
        <w:rPr>
          <w:b w:val="0"/>
          <w:bCs w:val="0"/>
          <w:color w:val="auto"/>
          <w:sz w:val="24"/>
          <w:szCs w:val="24"/>
        </w:rPr>
        <w:t xml:space="preserve">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</w:t>
      </w:r>
      <w:r>
        <w:rPr>
          <w:b w:val="0"/>
          <w:bCs w:val="0"/>
          <w:color w:val="auto"/>
          <w:sz w:val="24"/>
          <w:szCs w:val="24"/>
        </w:rPr>
        <w:t xml:space="preserve">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Сторона несет ответственность за нарушение конфиденциальности Ключа КЭП ее работниками и / или иными уполномоченными лицам</w:t>
      </w:r>
      <w:r>
        <w:rPr>
          <w:b w:val="0"/>
          <w:bCs w:val="0"/>
          <w:color w:val="auto"/>
          <w:sz w:val="24"/>
          <w:szCs w:val="24"/>
        </w:rPr>
        <w:t xml:space="preserve">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3.5. Стороны обязаны безотлагательно прекратить ЭДО и не использова</w:t>
      </w:r>
      <w:r>
        <w:rPr>
          <w:b w:val="0"/>
          <w:bCs w:val="0"/>
          <w:color w:val="auto"/>
          <w:sz w:val="24"/>
          <w:szCs w:val="24"/>
        </w:rPr>
        <w:t xml:space="preserve">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3.7. Стороны подтверждают, что они уведомлены и выражают согласие на то, что одна Сторона для организации электронного документооборота с другой Сто</w:t>
      </w:r>
      <w:r>
        <w:rPr>
          <w:b w:val="0"/>
          <w:bCs w:val="0"/>
          <w:color w:val="auto"/>
          <w:sz w:val="24"/>
          <w:szCs w:val="24"/>
        </w:rPr>
        <w:t xml:space="preserve">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4. Взаимодействие с удостоверяющим центром и оператором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4.2</w:t>
      </w:r>
      <w:r>
        <w:rPr>
          <w:b w:val="0"/>
          <w:bCs w:val="0"/>
          <w:color w:val="auto"/>
          <w:sz w:val="24"/>
          <w:szCs w:val="24"/>
        </w:rPr>
        <w:t xml:space="preserve">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5. Порядок обмена электронными документами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5.1. Стороны осуществляют ЭДО в </w:t>
      </w:r>
      <w:r>
        <w:rPr>
          <w:b w:val="0"/>
          <w:bCs w:val="0"/>
          <w:color w:val="auto"/>
          <w:sz w:val="24"/>
          <w:szCs w:val="24"/>
        </w:rPr>
        <w:t xml:space="preserve">соответствии с Гражданским кодексом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</w:t>
      </w:r>
      <w:r>
        <w:rPr>
          <w:b w:val="0"/>
          <w:bCs w:val="0"/>
          <w:color w:val="auto"/>
          <w:sz w:val="24"/>
          <w:szCs w:val="24"/>
        </w:rPr>
        <w:t xml:space="preserve">N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</w:t>
      </w:r>
      <w:r>
        <w:rPr>
          <w:b w:val="0"/>
          <w:bCs w:val="0"/>
          <w:color w:val="auto"/>
          <w:sz w:val="24"/>
          <w:szCs w:val="24"/>
        </w:rPr>
        <w:t xml:space="preserve">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5.3. Стороны обязаны информировать друг дру</w:t>
      </w:r>
      <w:r>
        <w:rPr>
          <w:b w:val="0"/>
          <w:bCs w:val="0"/>
          <w:color w:val="auto"/>
          <w:sz w:val="24"/>
          <w:szCs w:val="24"/>
        </w:rPr>
        <w:t xml:space="preserve">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</w:t>
      </w:r>
      <w:r>
        <w:rPr>
          <w:b w:val="0"/>
          <w:bCs w:val="0"/>
          <w:color w:val="auto"/>
          <w:sz w:val="24"/>
          <w:szCs w:val="24"/>
        </w:rPr>
        <w:t xml:space="preserve">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5.4. На период Приостановления обмена Стороны производят обмен документами на бумажном носителе с подписание</w:t>
      </w:r>
      <w:r>
        <w:rPr>
          <w:b w:val="0"/>
          <w:bCs w:val="0"/>
          <w:color w:val="auto"/>
          <w:sz w:val="24"/>
          <w:szCs w:val="24"/>
        </w:rPr>
        <w:t xml:space="preserve">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5.5. При </w:t>
      </w:r>
      <w:r>
        <w:rPr>
          <w:b w:val="0"/>
          <w:bCs w:val="0"/>
          <w:color w:val="auto"/>
          <w:sz w:val="24"/>
          <w:szCs w:val="24"/>
        </w:rPr>
        <w:t xml:space="preserve">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стоимость".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5.6. Электронный документ считается доставленным, если в системе ЭДО он имеет любой статус, кроме статуса</w:t>
      </w:r>
      <w:r>
        <w:rPr>
          <w:b w:val="0"/>
          <w:bCs w:val="0"/>
          <w:color w:val="auto"/>
          <w:sz w:val="24"/>
          <w:szCs w:val="24"/>
        </w:rPr>
        <w:t xml:space="preserve"> о недоставке / ошибке доставки (в случае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</w:t>
      </w:r>
      <w:r>
        <w:rPr>
          <w:b w:val="0"/>
          <w:bCs w:val="0"/>
          <w:color w:val="auto"/>
          <w:sz w:val="24"/>
          <w:szCs w:val="24"/>
        </w:rPr>
        <w:t xml:space="preserve">е, если КЭП направляющей Стороны не прошла проверку на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 Электронные документы, котор</w:t>
      </w:r>
      <w:r>
        <w:rPr>
          <w:b w:val="0"/>
          <w:bCs w:val="0"/>
          <w:color w:val="auto"/>
          <w:sz w:val="24"/>
          <w:szCs w:val="24"/>
        </w:rPr>
        <w:t xml:space="preserve">ые требуют подписания Получающей Стороной, должны быть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5.8.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5.9. При необходимости 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5.10.  Пр</w:t>
      </w:r>
      <w:r>
        <w:rPr>
          <w:b w:val="0"/>
          <w:bCs w:val="0"/>
          <w:color w:val="auto"/>
          <w:sz w:val="24"/>
          <w:szCs w:val="24"/>
        </w:rPr>
        <w:t xml:space="preserve">и выставлении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использованием КЭП, закрепленным в приказе Минфина России от 05.02.2021 № 14н.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5.11. При выставлении счетов-фактур/УПД,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6. Порядок выставления, направления и обмена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накладными, актами, счетами-фактурами/УПД через Оператора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6.2. Оператор проверяет адрес и ст</w:t>
      </w:r>
      <w:r>
        <w:rPr>
          <w:b w:val="0"/>
          <w:bCs w:val="0"/>
          <w:color w:val="auto"/>
          <w:sz w:val="24"/>
          <w:szCs w:val="24"/>
        </w:rPr>
        <w:t xml:space="preserve">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6.3. Направляющая Сторона при получении ПДП проверяет действительность сертификата КЭП и сохраняет его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6.4. При обнаружении ошибок в полученном контейнере Оператор формирует сообщение об ошибке и отправляет его Направляющей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6.5. Получающая Сторона при получении Документа от Оператора проверяет действительность сертификата КЭП и сохраняет Документ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6.7. Направляющая сторона, получив ИОП, проверяет действительность сертификата КЭП и сохраняет его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 Получающая С</w:t>
      </w:r>
      <w:r>
        <w:rPr>
          <w:b w:val="0"/>
          <w:bCs w:val="0"/>
          <w:color w:val="auto"/>
          <w:sz w:val="24"/>
          <w:szCs w:val="24"/>
        </w:rPr>
        <w:t xml:space="preserve">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6.9.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6.11.  При в</w:t>
      </w:r>
      <w:r>
        <w:rPr>
          <w:b w:val="0"/>
          <w:bCs w:val="0"/>
          <w:color w:val="auto"/>
          <w:sz w:val="24"/>
          <w:szCs w:val="24"/>
        </w:rPr>
        <w:t xml:space="preserve">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использованием КЭП, закрепленным в приказе Минфина России от 05.02.2021 г. N 14н.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6.12. При выставлении счетов-фактур/УПД,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7. Порядок прямого обмена неформализованными документами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 Получающая Сторона, ознакомившись с документом, может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7.3.1. Подписать Документ КЭП и отправить Направляющей стороне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7.5. При необходимости Направляющая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8. Прочие условия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8.1. Стороны признают, что использование средств криптографической </w:t>
      </w:r>
      <w:r>
        <w:rPr>
          <w:b w:val="0"/>
          <w:bCs w:val="0"/>
          <w:color w:val="auto"/>
          <w:sz w:val="24"/>
          <w:szCs w:val="24"/>
        </w:rPr>
        <w:t xml:space="preserve">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электронный документ исходит от Стороны, его передавшей (подтверждение авторства документа);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фактом доставки электронного документа является формирование принимающей Стороной отчета о доставке электронного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8.2. Подписанный с помощью квалифицированной электронной подписи уполномоченным лицом э</w:t>
      </w:r>
      <w:r>
        <w:rPr>
          <w:b w:val="0"/>
          <w:bCs w:val="0"/>
          <w:color w:val="auto"/>
          <w:sz w:val="24"/>
          <w:szCs w:val="24"/>
        </w:rPr>
        <w:t xml:space="preserve">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подтверждено отсутствие изменений, внесенных в этот документ после его подписания;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документ оформлен надлежащей (согласованной)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документ направлен и подписан уполномоченными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8.3. Стороны пришли к соглашению, что в случае возникновения спорной ситуации, касающейся об</w:t>
      </w:r>
      <w:r>
        <w:rPr>
          <w:b w:val="0"/>
          <w:bCs w:val="0"/>
          <w:color w:val="auto"/>
          <w:sz w:val="24"/>
          <w:szCs w:val="24"/>
        </w:rPr>
        <w:t xml:space="preserve">мена электронными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</w:t>
      </w:r>
      <w:r>
        <w:rPr>
          <w:b w:val="0"/>
          <w:bCs w:val="0"/>
          <w:color w:val="auto"/>
          <w:sz w:val="24"/>
          <w:szCs w:val="24"/>
        </w:rPr>
        <w:t xml:space="preserve"> определенный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</w:t>
      </w:r>
      <w:r>
        <w:rPr>
          <w:b w:val="0"/>
          <w:bCs w:val="0"/>
          <w:color w:val="auto"/>
          <w:sz w:val="24"/>
          <w:szCs w:val="24"/>
        </w:rPr>
        <w:t xml:space="preserve">опустимого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8.4. Для целей сверки, Стороны используют данные Системы ЭДО и / или отчеты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</w:t>
      </w:r>
      <w:r>
        <w:rPr>
          <w:b w:val="0"/>
          <w:bCs w:val="0"/>
          <w:color w:val="auto"/>
          <w:sz w:val="24"/>
          <w:szCs w:val="24"/>
        </w:rPr>
        <w:t xml:space="preserve">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8.9. Покупатель имеет право в одностороннем порядке расторгнуть Соглашение при нарушении обязательств Постащиком.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9. Ответственность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9.1. Стороны обязуются использовать, принимать и признавать квалифициро</w:t>
      </w:r>
      <w:r>
        <w:rPr>
          <w:b w:val="0"/>
          <w:bCs w:val="0"/>
          <w:color w:val="auto"/>
          <w:sz w:val="24"/>
          <w:szCs w:val="24"/>
        </w:rPr>
        <w:t xml:space="preserve">ванные сертификаты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</w:t>
      </w:r>
      <w:r>
        <w:rPr>
          <w:b w:val="0"/>
          <w:bCs w:val="0"/>
          <w:color w:val="auto"/>
          <w:sz w:val="24"/>
          <w:szCs w:val="24"/>
        </w:rPr>
        <w:t xml:space="preserve">цированный сертификат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9.2. Ответственность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</w:t>
      </w:r>
      <w:r>
        <w:rPr>
          <w:b w:val="0"/>
          <w:bCs w:val="0"/>
          <w:color w:val="auto"/>
          <w:sz w:val="24"/>
          <w:szCs w:val="24"/>
        </w:rPr>
        <w:t xml:space="preserve">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</w:t>
      </w:r>
      <w:r>
        <w:rPr>
          <w:b w:val="0"/>
          <w:bCs w:val="0"/>
          <w:color w:val="auto"/>
          <w:sz w:val="24"/>
          <w:szCs w:val="24"/>
        </w:rPr>
        <w:t xml:space="preserve">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9.5. Поставщик не имеет права передавать свои права и обязанности по Соглашению третьим лицам, без письменного согласия Покупателя.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10. Разрешение споров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10.2. При возникновении разногласий относительно подписания с помощью КЭП определенны</w:t>
      </w:r>
      <w:r>
        <w:rPr>
          <w:b w:val="0"/>
          <w:bCs w:val="0"/>
          <w:color w:val="auto"/>
          <w:sz w:val="24"/>
          <w:szCs w:val="24"/>
        </w:rPr>
        <w:t xml:space="preserve">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Претензия влечет гражданско-правовые последствия для адресата с момента доставки ему или его представителю.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Претензия считается доставленной, если она: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поступила адресату, но по зависящим от него обстоятельствам не была вручена или адресат не ознакомился с 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доставлена по адресу, указанному в ЕГРЮЛ или названному самим адресатом, даже если последний не находится по данному адресу.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К претензии должны быть приложены документы, об</w:t>
      </w:r>
      <w:r>
        <w:rPr>
          <w:b w:val="0"/>
          <w:bCs w:val="0"/>
          <w:color w:val="auto"/>
          <w:sz w:val="24"/>
          <w:szCs w:val="24"/>
        </w:rPr>
        <w:t xml:space="preserve">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11. Список приложений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Приложение №1 является неотъемлемой частью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ffffff" w:fill="ffffff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ffffff" w:fill="ffffff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Приложение №1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к Соглашению об использовании электронного документооборота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center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ПЕРЕЧЕНЬ ДОКУМЕНТОВ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Сферу действия Соглаш</w:t>
      </w:r>
      <w:r>
        <w:rPr>
          <w:color w:val="auto"/>
          <w:sz w:val="24"/>
          <w:szCs w:val="24"/>
        </w:rPr>
        <w:t xml:space="preserve">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both"/>
        <w:rPr>
          <w:sz w:val="24"/>
          <w:szCs w:val="24"/>
        </w:rPr>
      </w:pPr>
      <w:r>
        <w:rPr>
          <w:rStyle w:val="1178"/>
        </w:rPr>
        <w:footnoteReference w:id="7"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180" w:type="dxa"/>
        <w:tblInd w:w="38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394"/>
        <w:gridCol w:w="4785"/>
      </w:tblGrid>
      <w:tr>
        <w:trPr>
          <w:trHeight w:val="6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Наименование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Формат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Договор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Дополнительное соглашение к договору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расторжении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замене стороны в договоре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зачете встречных однородных требований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переводе долга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конфиденциальности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направлении документов через электронный документооборот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Гарантийное 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Заявка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сверки взаиморасчетов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Претензия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Доверенность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Уведомление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Приглашение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сдачи-приемки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приема-передачи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выполненных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оказания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Накладная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Счет-фактура/УПД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Универсальный передаточный документ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 на оплату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Коммерческое предложение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1171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ffffff" w:fill="ffffff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ffffff" w:fill="ffffff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71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71"/>
        <w:pBdr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1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sectPr>
      <w:headerReference w:type="default" r:id="rId13"/>
      <w:headerReference w:type="first" r:id="rId14"/>
      <w:footerReference w:type="default" r:id="rId18"/>
      <w:footerReference w:type="first" r:id="rId19"/>
      <w:footnotePr>
        <w:numFmt w:val="decimal"/>
      </w:footnotePr>
      <w:endnotePr/>
      <w:type w:val="nextPage"/>
      <w:pgSz w:h="16838" w:orient="portrait" w:w="11906"/>
      <w:pgMar w:top="1134" w:right="1134" w:bottom="1134" w:left="1134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;serif">
    <w:panose1 w:val="02020603050405020304"/>
  </w:font>
  <w:font w:name="Symbol">
    <w:panose1 w:val="05010000000000000000"/>
  </w:font>
  <w:font w:name="Geneva CY">
    <w:panose1 w:val="05040102010807070707"/>
  </w:font>
  <w:font w:name="Verdana">
    <w:panose1 w:val="020B0604030504040204"/>
  </w:font>
  <w:font w:name="Courier New">
    <w:panose1 w:val="02070309020205020404"/>
  </w:font>
  <w:font w:name="Mangal">
    <w:panose1 w:val="02040503050406030204"/>
  </w:font>
  <w:font w:name="Lohit Devanagari">
    <w:panose1 w:val="020B0600000000000000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Tahoma">
    <w:panose1 w:val="020B0604030504040204"/>
  </w:font>
  <w:font w:name="Geneva">
    <w:panose1 w:val="05040102010807070707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8"/>
      <w:pBdr/>
      <w:spacing/>
      <w:ind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0</w:t>
    </w:r>
    <w:r>
      <w:rPr>
        <w:sz w:val="20"/>
        <w:szCs w:val="20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38"/>
      <w:pBdr/>
      <w:spacing/>
      <w:ind/>
      <w:jc w:val="right"/>
      <w:rPr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0</w:t>
    </w:r>
    <w:r>
      <w:rPr>
        <w:sz w:val="24"/>
        <w:szCs w:val="24"/>
      </w:rPr>
      <w:fldChar w:fldCharType="end"/>
    </w:r>
    <w:r/>
  </w:p>
  <w:p>
    <w:pPr>
      <w:pStyle w:val="1238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1"/>
      <w:pBdr/>
      <w:spacing/>
      <w:ind/>
      <w:rPr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222"/>
        <w:pBdr/>
        <w:spacing/>
        <w:ind/>
        <w:jc w:val="both"/>
        <w:rPr/>
      </w:pPr>
      <w:r>
        <w:rPr>
          <w:rStyle w:val="1177"/>
        </w:rPr>
        <w:footnoteRef/>
      </w:r>
      <w:r>
        <w:t xml:space="preserve"> </w:t>
      </w:r>
      <w:r>
        <w:t xml:space="preserve">Данное ограничение не включает в себя обязанность, установленную пунктом 3.5.2 Договора, по привлечению Субъекта МСП к исполнению обязательств по Договору</w:t>
      </w:r>
      <w:r/>
    </w:p>
  </w:footnote>
  <w:footnote w:id="3">
    <w:p>
      <w:pPr>
        <w:pStyle w:val="1222"/>
        <w:pBdr/>
        <w:spacing/>
        <w:ind/>
        <w:jc w:val="both"/>
        <w:rPr/>
      </w:pPr>
      <w:r>
        <w:rPr>
          <w:rStyle w:val="1177"/>
        </w:rPr>
        <w:footnoteRef/>
      </w:r>
      <w:r>
        <w:t xml:space="preserve"> </w:t>
      </w:r>
      <w:r>
        <w:rPr>
          <w:shd w:val="clear" w:color="auto" w:fill="ffdbb6"/>
        </w:rPr>
        <w:t xml:space="preserve">Ограничение применяется одновременно к стоимости и объёму работ.</w:t>
      </w:r>
      <w:r/>
    </w:p>
  </w:footnote>
  <w:footnote w:id="4">
    <w:p>
      <w:pPr>
        <w:pStyle w:val="1222"/>
        <w:pBdr/>
        <w:spacing/>
        <w:ind/>
        <w:jc w:val="both"/>
        <w:rPr/>
      </w:pPr>
      <w:r>
        <w:rPr>
          <w:rStyle w:val="1177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случае, если Подрядчик является субъектом МСП, для закупок, участниками которых могут быть только МСП, а также в случае, если по результатам закупки среди любых участников победителе</w:t>
      </w:r>
      <w:r>
        <w:rPr>
          <w:highlight w:val="lightGray"/>
        </w:rPr>
        <w:t xml:space="preserve">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</w:footnote>
  <w:footnote w:id="5">
    <w:p>
      <w:pPr>
        <w:pStyle w:val="1222"/>
        <w:pBdr/>
        <w:spacing/>
        <w:ind/>
        <w:jc w:val="both"/>
        <w:rPr/>
      </w:pPr>
      <w:r>
        <w:rPr>
          <w:rStyle w:val="1177"/>
        </w:rPr>
        <w:footnoteRef/>
      </w:r>
      <w:r>
        <w:t xml:space="preserve">Данное условие может быть исключено для Договоров, не предусматривающих выплату предварительной оплаты (аванса).</w:t>
      </w:r>
      <w:r/>
    </w:p>
  </w:footnote>
  <w:footnote w:id="6">
    <w:p>
      <w:pPr>
        <w:pStyle w:val="1222"/>
        <w:pBdr/>
        <w:spacing/>
        <w:ind/>
        <w:jc w:val="both"/>
        <w:rPr/>
      </w:pPr>
      <w:r>
        <w:rPr>
          <w:rStyle w:val="1177"/>
        </w:rPr>
        <w:footnoteRef/>
      </w:r>
      <w:r>
        <w:t xml:space="preserve"> </w:t>
      </w:r>
      <w:r>
        <w:t xml:space="preserve">Письменное согласование Общества ос</w:t>
      </w:r>
      <w:r>
        <w:t xml:space="preserve">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документов (актом) Общества.</w:t>
      </w:r>
      <w:r/>
    </w:p>
  </w:footnote>
  <w:footnote w:id="7">
    <w:p>
      <w:pPr>
        <w:pStyle w:val="1222"/>
        <w:pBdr/>
        <w:spacing/>
        <w:ind/>
        <w:rPr/>
      </w:pPr>
      <w:r>
        <w:rPr>
          <w:rStyle w:val="1177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примерным и может редактироваться ОИ в зависимости от характеристики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1"/>
      <w:pBdr/>
      <w:shd w:val="clear" w:color="auto" w:fill="ffffff"/>
      <w:tabs>
        <w:tab w:val="clear" w:leader="none" w:pos="708"/>
        <w:tab w:val="left" w:leader="none" w:pos="3148"/>
        <w:tab w:val="center" w:leader="none" w:pos="4818"/>
        <w:tab w:val="left" w:leader="none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  <w:r>
      <w:rPr>
        <w:bCs/>
        <w:color w:val="000000"/>
        <w:sz w:val="22"/>
        <w:szCs w:val="22"/>
      </w:rPr>
    </w:r>
    <w:r>
      <w:rPr>
        <w:bCs/>
        <w:color w:val="000000"/>
        <w:sz w:val="22"/>
        <w:szCs w:val="22"/>
      </w:rPr>
    </w:r>
    <w:r>
      <w:rPr>
        <w:bCs/>
        <w:color w:val="000000"/>
        <w:sz w:val="22"/>
        <w:szCs w:val="2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18"/>
      <w:pBdr/>
      <w:spacing/>
      <w:ind w:firstLine="0"/>
      <w:jc w:val="right"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18"/>
      <w:pBdr/>
      <w:spacing/>
      <w:ind w:firstLine="0"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71"/>
      <w:pBdr/>
      <w:spacing/>
      <w:ind/>
      <w:rPr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lvl w:ilvl="0">
      <w:isLgl w:val="false"/>
      <w:lvlJc w:val="left"/>
      <w:lvlText w:val="Статья %1."/>
      <w:numFmt w:val="decimal"/>
      <w:pPr>
        <w:pBdr/>
        <w:tabs>
          <w:tab w:val="num" w:leader="none" w:pos="720"/>
        </w:tabs>
        <w:spacing/>
        <w:ind w:hanging="360" w:left="720"/>
      </w:pPr>
      <w:pStyle w:val="1230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725"/>
        </w:tabs>
        <w:spacing/>
        <w:ind w:hanging="1185" w:left="1725"/>
      </w:pPr>
      <w:pStyle w:val="1231"/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085"/>
        </w:tabs>
        <w:spacing/>
        <w:ind w:hanging="1185" w:left="2085"/>
      </w:pPr>
      <w:pStyle w:val="1232"/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625"/>
        </w:tabs>
        <w:spacing/>
        <w:ind w:hanging="1185" w:left="262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985"/>
        </w:tabs>
        <w:spacing/>
        <w:ind w:hanging="1185" w:left="298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345"/>
        </w:tabs>
        <w:spacing/>
        <w:ind w:hanging="1185" w:left="334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040"/>
        </w:tabs>
        <w:spacing/>
        <w:ind w:hanging="1800" w:left="5040"/>
      </w:pPr>
      <w:rPr/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360"/>
        </w:tabs>
        <w:spacing/>
        <w:ind w:hanging="360" w:left="360"/>
      </w:pPr>
      <w:pStyle w:val="1235"/>
      <w:rPr>
        <w:rFonts w:hint="default" w:ascii="Symbol" w:hAnsi="Symbol" w:cs="Symbol"/>
        <w:color w:val="auto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276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356"/>
      </w:pPr>
      <w:rPr>
        <w:b w:val="0"/>
        <w:sz w:val="24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2979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989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130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1808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23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2816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3392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3240"/>
        </w:tabs>
        <w:spacing/>
        <w:ind w:firstLine="0" w:left="3240"/>
      </w:pPr>
      <w:pStyle w:val="1245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51"/>
        </w:tabs>
        <w:spacing/>
        <w:ind w:hanging="851" w:left="851"/>
      </w:pPr>
      <w:pStyle w:val="1246"/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851"/>
        </w:tabs>
        <w:spacing/>
        <w:ind w:hanging="851" w:left="851"/>
      </w:pPr>
      <w:pStyle w:val="1247"/>
      <w:rPr/>
      <w:start w:val="1"/>
      <w:suff w:val="tab"/>
    </w:lvl>
    <w:lvl w:ilvl="3">
      <w:isLgl w:val="false"/>
      <w:lvlJc w:val="left"/>
      <w:lvlText w:val="%4)"/>
      <w:numFmt w:val="lowerLetter"/>
      <w:pPr>
        <w:pBdr/>
        <w:tabs>
          <w:tab w:val="num" w:leader="none" w:pos="1418"/>
        </w:tabs>
        <w:spacing/>
        <w:ind w:hanging="567" w:left="1418"/>
      </w:pPr>
      <w:pStyle w:val="1248"/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8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8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8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8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8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8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8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8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8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8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8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8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432" w:left="1283"/>
      </w:pPr>
      <w:rPr>
        <w:rFonts w:hint="default" w:ascii="Symbol" w:hAnsi="Symbol" w:cs="Symbol"/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355"/>
      </w:pPr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1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35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7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9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1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23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95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7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9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1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63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2">
    <w:lvl w:ilvl="0">
      <w:isLgl w:val="false"/>
      <w:lvlJc w:val="left"/>
      <w:lvlText w:val="%1."/>
      <w:numFmt w:val="upperRoman"/>
      <w:pPr>
        <w:pBdr/>
        <w:tabs>
          <w:tab w:val="num" w:leader="none" w:pos="0"/>
        </w:tabs>
        <w:spacing/>
        <w:ind w:hanging="72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687"/>
      </w:pPr>
      <w:rPr/>
      <w:start w:val="1"/>
      <w:suff w:val="tab"/>
    </w:lvl>
  </w:abstractNum>
  <w:abstractNum w:abstractNumId="2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927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687"/>
      </w:pPr>
      <w:rPr/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9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</w:rPr>
      <w:start w:val="1"/>
      <w:suff w:val="tab"/>
    </w:lvl>
    <w:lvl w:ilvl="2">
      <w:isLgl w:val="false"/>
      <w:lvlJc w:val="left"/>
      <w:lvlText w:val="9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2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00" w:left="600"/>
      </w:pPr>
      <w:rPr>
        <w:b/>
        <w:bCs/>
      </w:rPr>
      <w:start w:val="1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2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8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429"/>
      </w:pPr>
      <w:pStyle w:val="1253"/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276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356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2979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989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130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1808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23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2816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3392"/>
      </w:pPr>
      <w:rPr/>
      <w:start w:val="1"/>
      <w:suff w:val="tab"/>
    </w:lvl>
  </w:abstractNum>
  <w:abstractNum w:abstractNumId="4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4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47">
    <w:lvl w:ilvl="0">
      <w:isLgl w:val="false"/>
      <w:lvlJc w:val="left"/>
      <w:lvlText w:val="–"/>
      <w:numFmt w:val="bullet"/>
      <w:pPr>
        <w:pBdr/>
        <w:spacing/>
        <w:ind w:hanging="360" w:left="1417"/>
      </w:pPr>
      <w:rPr>
        <w:rFonts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37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857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3577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297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5017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737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57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7177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8"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7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49"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8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5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/>
        <w:bCs/>
      </w:rPr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1">
    <w:lvl w:ilvl="0">
      <w:isLgl w:val="false"/>
      <w:lvlJc w:val="left"/>
      <w:lvlText w:val="10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2">
    <w:lvl w:ilvl="0">
      <w:isLgl w:val="false"/>
      <w:lvlJc w:val="left"/>
      <w:lvlText w:val="12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3">
    <w:lvl w:ilvl="0">
      <w:isLgl w:val="false"/>
      <w:lvlJc w:val="left"/>
      <w:lvlText w:val="14.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54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5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6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7">
    <w:lvl w:ilvl="0">
      <w:isLgl w:val="false"/>
      <w:lvlJc w:val="left"/>
      <w:lvlText w:val="15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8">
    <w:lvl w:ilvl="0">
      <w:isLgl w:val="false"/>
      <w:lvlJc w:val="left"/>
      <w:lvlText w:val="15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00" w:left="600"/>
      </w:pPr>
      <w:rPr>
        <w:b/>
        <w:bCs/>
      </w:rPr>
      <w:start w:val="1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6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30"/>
    <w:lvlOverride w:ilvl="0">
      <w:startOverride w:val="1"/>
    </w:lvlOverride>
  </w:num>
  <w:num w:numId="46">
    <w:abstractNumId w:val="30"/>
  </w:num>
  <w:num w:numId="47">
    <w:abstractNumId w:val="30"/>
  </w:num>
  <w:num w:numId="48">
    <w:abstractNumId w:val="30"/>
  </w:num>
  <w:num w:numId="49">
    <w:abstractNumId w:val="30"/>
  </w:num>
  <w:num w:numId="50">
    <w:abstractNumId w:val="30"/>
  </w:num>
  <w:num w:numId="51">
    <w:abstractNumId w:val="30"/>
  </w:num>
  <w:num w:numId="52">
    <w:abstractNumId w:val="30"/>
  </w:num>
  <w:num w:numId="53">
    <w:abstractNumId w:val="30"/>
  </w:num>
  <w:num w:numId="54">
    <w:abstractNumId w:val="30"/>
  </w:num>
  <w:num w:numId="55">
    <w:abstractNumId w:val="30"/>
  </w:num>
  <w:num w:numId="56">
    <w:abstractNumId w:val="30"/>
  </w:num>
  <w:num w:numId="57">
    <w:abstractNumId w:val="30"/>
  </w:num>
  <w:num w:numId="58">
    <w:abstractNumId w:val="30"/>
  </w:num>
  <w:num w:numId="59">
    <w:abstractNumId w:val="44"/>
  </w:num>
  <w:num w:numId="60">
    <w:abstractNumId w:val="45"/>
  </w:num>
  <w:num w:numId="61">
    <w:abstractNumId w:val="46"/>
  </w:num>
  <w:num w:numId="62">
    <w:abstractNumId w:val="47"/>
  </w:num>
  <w:num w:numId="63">
    <w:abstractNumId w:val="48"/>
  </w:num>
  <w:num w:numId="64">
    <w:abstractNumId w:val="49"/>
  </w:num>
  <w:num w:numId="65">
    <w:abstractNumId w:val="50"/>
  </w:num>
  <w:num w:numId="66">
    <w:abstractNumId w:val="51"/>
  </w:num>
  <w:num w:numId="67">
    <w:abstractNumId w:val="52"/>
  </w:num>
  <w:num w:numId="68">
    <w:abstractNumId w:val="53"/>
  </w:num>
  <w:num w:numId="69">
    <w:abstractNumId w:val="54"/>
  </w:num>
  <w:num w:numId="70">
    <w:abstractNumId w:val="55"/>
  </w:num>
  <w:num w:numId="71">
    <w:abstractNumId w:val="56"/>
  </w:num>
  <w:num w:numId="72">
    <w:abstractNumId w:val="57"/>
  </w:num>
  <w:num w:numId="73">
    <w:abstractNumId w:val="58"/>
  </w:num>
  <w:num w:numId="74">
    <w:abstractNumId w:val="59"/>
  </w:num>
  <w:num w:numId="75">
    <w:abstractNumId w:val="60"/>
  </w:num>
  <w:num w:numId="76">
    <w:abstractNumId w:val="61"/>
  </w:num>
  <w:num w:numId="77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none" w:formatting="1" w:enforcement="0"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12">
    <w:name w:val="Table Grid Light"/>
    <w:basedOn w:val="12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Plain Table 1"/>
    <w:basedOn w:val="12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Plain Table 2"/>
    <w:basedOn w:val="12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Plain Table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Plain Table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Plain Table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Grid Table 1 Light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Grid Table 1 Light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Grid Table 1 Light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Grid Table 1 Light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Grid Table 1 Light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Grid Table 1 Light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Grid Table 1 Light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Grid Table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Grid Table 2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Grid Table 2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Grid Table 2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Grid Table 2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Grid Table 2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Grid Table 2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Grid Table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Grid Table 3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Grid Table 3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Grid Table 3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Grid Table 3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Grid Table 3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Grid Table 3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Grid Table 4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Grid Table 4 - Accent 1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Grid Table 4 - Accent 2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Grid Table 4 - Accent 3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Grid Table 4 - Accent 4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Grid Table 4 - Accent 5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Grid Table 4 - Accent 6"/>
    <w:basedOn w:val="12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Grid Table 5 Dark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Grid Table 5 Dark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Grid Table 5 Dark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Grid Table 5 Dark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Grid Table 5 Dark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Grid Table 5 Dark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Grid Table 5 Dark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>
    <w:name w:val="Grid Table 6 Colorful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4">
    <w:name w:val="Grid Table 6 Colorful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5">
    <w:name w:val="Grid Table 6 Colorful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Grid Table 6 Colorful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7">
    <w:name w:val="Grid Table 6 Colorful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Grid Table 6 Colorful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Grid Table 6 Colorful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0">
    <w:name w:val="Grid Table 7 Colorful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Grid Table 7 Colorful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Grid Table 7 Colorful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Grid Table 7 Colorful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Grid Table 7 Colorful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Grid Table 7 Colorful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Grid Table 7 Colorful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>
    <w:name w:val="List Table 1 Light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List Table 1 Light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List Table 1 Light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List Table 1 Light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List Table 1 Light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List Table 1 Light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List Table 1 Light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>
    <w:name w:val="List Table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>
    <w:name w:val="List Table 2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>
    <w:name w:val="List Table 2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List Table 2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>
    <w:name w:val="List Table 2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List Table 2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List Table 2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>
    <w:name w:val="List Table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>
    <w:name w:val="List Table 3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>
    <w:name w:val="List Table 3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List Table 3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>
    <w:name w:val="List Table 3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List Table 3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List Table 3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List Table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List Table 4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List Table 4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List Table 4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List Table 4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List Table 4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List Table 4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>
    <w:name w:val="List Table 5 Dark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List Table 5 Dark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97">
    <w:name w:val="List Table 5 Dark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List Table 5 Dark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99">
    <w:name w:val="List Table 5 Dark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0">
    <w:name w:val="List Table 5 Dark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1">
    <w:name w:val="List Table 5 Dark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2">
    <w:name w:val="List Table 6 Colorful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>
    <w:name w:val="List Table 6 Colorful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>
    <w:name w:val="List Table 6 Colorful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>
    <w:name w:val="List Table 6 Colorful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>
    <w:name w:val="List Table 6 Colorful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>
    <w:name w:val="List Table 6 Colorful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>
    <w:name w:val="List Table 6 Colorful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>
    <w:name w:val="List Table 7 Colorful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0">
    <w:name w:val="List Table 7 Colorful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1">
    <w:name w:val="List Table 7 Colorful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2">
    <w:name w:val="List Table 7 Colorful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3">
    <w:name w:val="List Table 7 Colorful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4">
    <w:name w:val="List Table 7 Colorful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5">
    <w:name w:val="List Table 7 Colorful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6">
    <w:name w:val="Lined - Accent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>
    <w:name w:val="Lined - Accent 1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>
    <w:name w:val="Lined - Accent 2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>
    <w:name w:val="Lined - Accent 3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>
    <w:name w:val="Lined - Accent 4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>
    <w:name w:val="Lined - Accent 5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>
    <w:name w:val="Lined - Accent 6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>
    <w:name w:val="Bordered &amp; Lined - Accent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>
    <w:name w:val="Bordered &amp; Lined - Accent 1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>
    <w:name w:val="Bordered &amp; Lined - Accent 2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>
    <w:name w:val="Bordered &amp; Lined - Accent 3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>
    <w:name w:val="Bordered &amp; Lined - Accent 4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>
    <w:name w:val="Bordered &amp; Lined - Accent 5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>
    <w:name w:val="Bordered &amp; Lined - Accent 6"/>
    <w:basedOn w:val="12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>
    <w:name w:val="Bordered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>
    <w:name w:val="Bordered - Accent 1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>
    <w:name w:val="Bordered - Accent 2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>
    <w:name w:val="Bordered - Accent 3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>
    <w:name w:val="Bordered - Accent 4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>
    <w:name w:val="Bordered - Accent 5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>
    <w:name w:val="Bordered - Accent 6"/>
    <w:basedOn w:val="12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37">
    <w:name w:val="Heading 4"/>
    <w:basedOn w:val="1171"/>
    <w:next w:val="1171"/>
    <w:link w:val="114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138">
    <w:name w:val="Heading 6"/>
    <w:basedOn w:val="1171"/>
    <w:next w:val="1171"/>
    <w:link w:val="114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139">
    <w:name w:val="Heading 7"/>
    <w:basedOn w:val="1171"/>
    <w:next w:val="1171"/>
    <w:link w:val="114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140">
    <w:name w:val="Heading 8"/>
    <w:basedOn w:val="1171"/>
    <w:next w:val="1171"/>
    <w:link w:val="114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141">
    <w:name w:val="Heading 9"/>
    <w:basedOn w:val="1171"/>
    <w:next w:val="1171"/>
    <w:link w:val="115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142">
    <w:name w:val="Heading 1 Char"/>
    <w:basedOn w:val="1176"/>
    <w:link w:val="11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143">
    <w:name w:val="Heading 2 Char"/>
    <w:basedOn w:val="1176"/>
    <w:link w:val="11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144">
    <w:name w:val="Heading 3 Char"/>
    <w:basedOn w:val="1176"/>
    <w:link w:val="11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145">
    <w:name w:val="Heading 4 Char"/>
    <w:basedOn w:val="1176"/>
    <w:link w:val="11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146">
    <w:name w:val="Heading 5 Char"/>
    <w:basedOn w:val="1176"/>
    <w:link w:val="11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147">
    <w:name w:val="Heading 6 Char"/>
    <w:basedOn w:val="1176"/>
    <w:link w:val="11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48">
    <w:name w:val="Heading 7 Char"/>
    <w:basedOn w:val="1176"/>
    <w:link w:val="11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49">
    <w:name w:val="Heading 8 Char"/>
    <w:basedOn w:val="1176"/>
    <w:link w:val="11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50">
    <w:name w:val="Heading 9 Char"/>
    <w:basedOn w:val="1176"/>
    <w:link w:val="11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51">
    <w:name w:val="Title Char"/>
    <w:basedOn w:val="1176"/>
    <w:link w:val="124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52">
    <w:name w:val="Subtitle"/>
    <w:basedOn w:val="1171"/>
    <w:next w:val="1171"/>
    <w:link w:val="11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53">
    <w:name w:val="Subtitle Char"/>
    <w:basedOn w:val="1176"/>
    <w:link w:val="11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54">
    <w:name w:val="Quote"/>
    <w:basedOn w:val="1171"/>
    <w:next w:val="1171"/>
    <w:link w:val="11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55">
    <w:name w:val="Quote Char"/>
    <w:basedOn w:val="1176"/>
    <w:link w:val="115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56">
    <w:name w:val="Intense Emphasis"/>
    <w:basedOn w:val="117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157">
    <w:name w:val="Intense Quote"/>
    <w:basedOn w:val="1171"/>
    <w:next w:val="1171"/>
    <w:link w:val="115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158">
    <w:name w:val="Intense Quote Char"/>
    <w:basedOn w:val="1176"/>
    <w:link w:val="115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159">
    <w:name w:val="Intense Reference"/>
    <w:basedOn w:val="117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160">
    <w:name w:val="No Spacing"/>
    <w:basedOn w:val="1171"/>
    <w:uiPriority w:val="1"/>
    <w:qFormat/>
    <w:pPr>
      <w:pBdr/>
      <w:spacing w:after="0" w:line="240" w:lineRule="auto"/>
      <w:ind/>
    </w:pPr>
  </w:style>
  <w:style w:type="character" w:styleId="1161">
    <w:name w:val="Subtle Emphasis"/>
    <w:basedOn w:val="117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62">
    <w:name w:val="Emphasis"/>
    <w:basedOn w:val="1176"/>
    <w:uiPriority w:val="20"/>
    <w:qFormat/>
    <w:pPr>
      <w:pBdr/>
      <w:spacing/>
      <w:ind/>
    </w:pPr>
    <w:rPr>
      <w:i/>
      <w:iCs/>
    </w:rPr>
  </w:style>
  <w:style w:type="character" w:styleId="1163">
    <w:name w:val="Subtle Reference"/>
    <w:basedOn w:val="117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64">
    <w:name w:val="Book Title"/>
    <w:basedOn w:val="117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165">
    <w:name w:val="Header Char"/>
    <w:basedOn w:val="1176"/>
    <w:link w:val="1218"/>
    <w:uiPriority w:val="99"/>
    <w:pPr>
      <w:pBdr/>
      <w:spacing/>
      <w:ind/>
    </w:pPr>
  </w:style>
  <w:style w:type="character" w:styleId="1166">
    <w:name w:val="Footer Char"/>
    <w:basedOn w:val="1176"/>
    <w:link w:val="1238"/>
    <w:uiPriority w:val="99"/>
    <w:pPr>
      <w:pBdr/>
      <w:spacing/>
      <w:ind/>
    </w:pPr>
  </w:style>
  <w:style w:type="character" w:styleId="1167">
    <w:name w:val="Footnote Text Char"/>
    <w:basedOn w:val="1176"/>
    <w:link w:val="1222"/>
    <w:uiPriority w:val="99"/>
    <w:semiHidden/>
    <w:pPr>
      <w:pBdr/>
      <w:spacing/>
      <w:ind/>
    </w:pPr>
    <w:rPr>
      <w:sz w:val="20"/>
      <w:szCs w:val="20"/>
    </w:rPr>
  </w:style>
  <w:style w:type="character" w:styleId="1168">
    <w:name w:val="Endnote Text Char"/>
    <w:basedOn w:val="1176"/>
    <w:link w:val="1249"/>
    <w:uiPriority w:val="99"/>
    <w:semiHidden/>
    <w:pPr>
      <w:pBdr/>
      <w:spacing/>
      <w:ind/>
    </w:pPr>
    <w:rPr>
      <w:sz w:val="20"/>
      <w:szCs w:val="20"/>
    </w:rPr>
  </w:style>
  <w:style w:type="paragraph" w:styleId="1169">
    <w:name w:val="TOC Heading"/>
    <w:uiPriority w:val="39"/>
    <w:unhideWhenUsed/>
    <w:pPr>
      <w:pBdr/>
      <w:spacing/>
      <w:ind/>
    </w:pPr>
  </w:style>
  <w:style w:type="paragraph" w:styleId="1170">
    <w:name w:val="table of figures"/>
    <w:basedOn w:val="1171"/>
    <w:next w:val="1171"/>
    <w:uiPriority w:val="99"/>
    <w:unhideWhenUsed/>
    <w:pPr>
      <w:pBdr/>
      <w:spacing w:after="0" w:afterAutospacing="0"/>
      <w:ind/>
    </w:pPr>
  </w:style>
  <w:style w:type="paragraph" w:styleId="1171" w:default="1">
    <w:name w:val="Normal"/>
    <w:qFormat/>
    <w:pPr>
      <w:widowControl w:val="true"/>
      <w:pBdr/>
      <w:bidi w:val="false"/>
      <w:spacing w:after="0" w:before="0" w:line="360" w:lineRule="auto"/>
      <w:ind w:firstLine="567"/>
      <w:jc w:val="both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172">
    <w:name w:val="Heading 1"/>
    <w:basedOn w:val="1171"/>
    <w:next w:val="1171"/>
    <w:link w:val="1190"/>
    <w:qFormat/>
    <w:pPr>
      <w:keepNext w:val="true"/>
      <w:pBdr/>
      <w:spacing w:after="60" w:before="240"/>
      <w:ind/>
      <w:outlineLvl w:val="0"/>
    </w:pPr>
    <w:rPr>
      <w:rFonts w:ascii="Cambria" w:hAnsi="Cambria"/>
      <w:b/>
      <w:bCs/>
      <w:sz w:val="32"/>
      <w:szCs w:val="32"/>
    </w:rPr>
  </w:style>
  <w:style w:type="paragraph" w:styleId="1173">
    <w:name w:val="Heading 2"/>
    <w:basedOn w:val="1171"/>
    <w:next w:val="1171"/>
    <w:link w:val="1191"/>
    <w:qFormat/>
    <w:pPr>
      <w:keepNext w:val="true"/>
      <w:pBdr/>
      <w:spacing w:after="60" w:before="240"/>
      <w:ind/>
      <w:outlineLvl w:val="1"/>
    </w:pPr>
    <w:rPr>
      <w:rFonts w:ascii="Cambria" w:hAnsi="Cambria"/>
      <w:b/>
      <w:bCs/>
      <w:i/>
      <w:iCs/>
    </w:rPr>
  </w:style>
  <w:style w:type="paragraph" w:styleId="1174">
    <w:name w:val="Heading 3"/>
    <w:basedOn w:val="1171"/>
    <w:next w:val="1171"/>
    <w:link w:val="1179"/>
    <w:uiPriority w:val="9"/>
    <w:qFormat/>
    <w:pPr>
      <w:keepNext w:val="true"/>
      <w:pBdr/>
      <w:spacing w:after="120" w:before="120" w:line="240" w:lineRule="auto"/>
      <w:ind w:firstLine="0"/>
      <w:jc w:val="left"/>
      <w:outlineLvl w:val="2"/>
    </w:pPr>
    <w:rPr>
      <w:b/>
      <w:szCs w:val="20"/>
    </w:rPr>
  </w:style>
  <w:style w:type="paragraph" w:styleId="1175">
    <w:name w:val="Heading 5"/>
    <w:basedOn w:val="1171"/>
    <w:next w:val="1171"/>
    <w:qFormat/>
    <w:pPr>
      <w:keepNext w:val="true"/>
      <w:keepLines w:val="true"/>
      <w:numPr>
        <w:ilvl w:val="0"/>
        <w:numId w:val="0"/>
      </w:numPr>
      <w:pBdr/>
      <w:spacing w:after="0" w:before="40"/>
      <w:ind w:firstLine="567"/>
      <w:outlineLvl w:val="4"/>
    </w:pPr>
    <w:rPr>
      <w:rFonts w:ascii="Cambria" w:hAnsi="Cambria" w:eastAsia="Times New Roman" w:cs="Times New Roman"/>
      <w:color w:val="365f91"/>
    </w:rPr>
  </w:style>
  <w:style w:type="character" w:styleId="1176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1177">
    <w:name w:val="Символ сноски"/>
    <w:qFormat/>
    <w:pPr>
      <w:pBdr/>
      <w:spacing/>
      <w:ind/>
    </w:pPr>
    <w:rPr>
      <w:vertAlign w:val="superscript"/>
    </w:rPr>
  </w:style>
  <w:style w:type="character" w:styleId="1178">
    <w:name w:val="footnote reference"/>
    <w:pPr>
      <w:pBdr/>
      <w:spacing/>
      <w:ind/>
    </w:pPr>
    <w:rPr>
      <w:vertAlign w:val="superscript"/>
    </w:rPr>
  </w:style>
  <w:style w:type="character" w:styleId="1179" w:customStyle="1">
    <w:name w:val="Заголовок 3 Знак"/>
    <w:qFormat/>
    <w:pPr>
      <w:pBdr/>
      <w:spacing/>
      <w:ind/>
    </w:pPr>
    <w:rPr>
      <w:b/>
      <w:sz w:val="28"/>
    </w:rPr>
  </w:style>
  <w:style w:type="character" w:styleId="1180" w:customStyle="1">
    <w:name w:val="3. Подпункт Знак"/>
    <w:link w:val="1232"/>
    <w:qFormat/>
    <w:pPr>
      <w:pBdr/>
      <w:spacing/>
      <w:ind/>
    </w:pPr>
    <w:rPr>
      <w:b/>
      <w:bCs/>
      <w:sz w:val="24"/>
      <w:szCs w:val="24"/>
    </w:rPr>
  </w:style>
  <w:style w:type="character" w:styleId="1181" w:customStyle="1">
    <w:name w:val="Текст выноски Знак"/>
    <w:link w:val="1234"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1182" w:customStyle="1">
    <w:name w:val="1. Статья Знак"/>
    <w:link w:val="1230"/>
    <w:qFormat/>
    <w:pPr>
      <w:pBdr/>
      <w:spacing/>
      <w:ind/>
    </w:pPr>
    <w:rPr>
      <w:sz w:val="24"/>
      <w:szCs w:val="24"/>
    </w:rPr>
  </w:style>
  <w:style w:type="character" w:styleId="1183" w:customStyle="1">
    <w:name w:val="4. Отчерк Знак"/>
    <w:link w:val="1235"/>
    <w:qFormat/>
    <w:pPr>
      <w:pBdr/>
      <w:spacing/>
      <w:ind/>
    </w:pPr>
    <w:rPr>
      <w:sz w:val="24"/>
      <w:szCs w:val="24"/>
    </w:rPr>
  </w:style>
  <w:style w:type="character" w:styleId="1184">
    <w:name w:val="annotation reference"/>
    <w:qFormat/>
    <w:pPr>
      <w:pBdr/>
      <w:spacing/>
      <w:ind/>
    </w:pPr>
    <w:rPr>
      <w:sz w:val="16"/>
      <w:szCs w:val="16"/>
    </w:rPr>
  </w:style>
  <w:style w:type="character" w:styleId="1185" w:customStyle="1">
    <w:name w:val="Текст примечания Знак"/>
    <w:link w:val="1236"/>
    <w:qFormat/>
    <w:pPr>
      <w:pBdr/>
      <w:spacing/>
      <w:ind/>
    </w:pPr>
  </w:style>
  <w:style w:type="character" w:styleId="1186" w:customStyle="1">
    <w:name w:val="Тема примечания Знак"/>
    <w:link w:val="1237"/>
    <w:qFormat/>
    <w:pPr>
      <w:pBdr/>
      <w:spacing/>
      <w:ind/>
    </w:pPr>
    <w:rPr>
      <w:b/>
      <w:bCs/>
    </w:rPr>
  </w:style>
  <w:style w:type="character" w:styleId="1187" w:customStyle="1">
    <w:name w:val="Нижний колонтитул Знак"/>
    <w:uiPriority w:val="99"/>
    <w:qFormat/>
    <w:pPr>
      <w:pBdr/>
      <w:spacing/>
      <w:ind/>
    </w:pPr>
    <w:rPr>
      <w:sz w:val="28"/>
      <w:szCs w:val="28"/>
    </w:rPr>
  </w:style>
  <w:style w:type="character" w:styleId="1188" w:customStyle="1">
    <w:name w:val="Основной текст 3 Знак"/>
    <w:link w:val="1216"/>
    <w:qFormat/>
    <w:pPr>
      <w:pBdr/>
      <w:spacing/>
      <w:ind/>
    </w:pPr>
    <w:rPr>
      <w:color w:val="0000ff"/>
      <w:sz w:val="24"/>
      <w:szCs w:val="24"/>
      <w:lang w:eastAsia="en-US"/>
    </w:rPr>
  </w:style>
  <w:style w:type="character" w:styleId="1189" w:customStyle="1">
    <w:name w:val="Заголовок Знак"/>
    <w:qFormat/>
    <w:pPr>
      <w:pBdr/>
      <w:spacing/>
      <w:ind/>
    </w:pPr>
    <w:rPr>
      <w:b/>
      <w:sz w:val="22"/>
      <w:szCs w:val="22"/>
      <w:shd w:val="clear" w:color="auto" w:fill="ffffff"/>
    </w:rPr>
  </w:style>
  <w:style w:type="character" w:styleId="1190" w:customStyle="1">
    <w:name w:val="Заголовок 1 Знак"/>
    <w:qFormat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1191" w:customStyle="1">
    <w:name w:val="Заголовок 2 Знак"/>
    <w:semiHidden/>
    <w:qFormat/>
    <w:pPr>
      <w:pBdr/>
      <w:spacing/>
      <w:ind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192" w:customStyle="1">
    <w:name w:val="Основной текст с отступом Знак"/>
    <w:qFormat/>
    <w:pPr>
      <w:pBdr/>
      <w:spacing/>
      <w:ind/>
    </w:pPr>
    <w:rPr>
      <w:sz w:val="28"/>
      <w:szCs w:val="28"/>
    </w:rPr>
  </w:style>
  <w:style w:type="character" w:styleId="1193" w:customStyle="1">
    <w:name w:val="Font Style16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1194" w:customStyle="1">
    <w:name w:val="Текст сноски Знак"/>
    <w:uiPriority w:val="99"/>
    <w:qFormat/>
    <w:pPr>
      <w:pBdr/>
      <w:spacing/>
      <w:ind/>
    </w:pPr>
  </w:style>
  <w:style w:type="character" w:styleId="1195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1196" w:customStyle="1">
    <w:name w:val="Текст концевой сноски Знак"/>
    <w:uiPriority w:val="99"/>
    <w:semiHidden/>
    <w:qFormat/>
    <w:pPr>
      <w:pBdr/>
      <w:spacing/>
      <w:ind/>
    </w:pPr>
  </w:style>
  <w:style w:type="character" w:styleId="1197">
    <w:name w:val="Символ концевой сноски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1198">
    <w:name w:val="endnote reference"/>
    <w:pPr>
      <w:pBdr/>
      <w:spacing/>
      <w:ind/>
    </w:pPr>
    <w:rPr>
      <w:vertAlign w:val="superscript"/>
    </w:rPr>
  </w:style>
  <w:style w:type="character" w:styleId="1199" w:customStyle="1">
    <w:name w:val="Текст Знак"/>
    <w:basedOn w:val="1176"/>
    <w:link w:val="1250"/>
    <w:uiPriority w:val="99"/>
    <w:semiHidden/>
    <w:qFormat/>
    <w:pPr>
      <w:pBdr/>
      <w:spacing/>
      <w:ind/>
    </w:pPr>
    <w:rPr>
      <w:rFonts w:ascii="Calibri" w:hAnsi="Calibri" w:eastAsia="Calibri"/>
      <w:sz w:val="22"/>
      <w:szCs w:val="21"/>
      <w:lang w:eastAsia="en-US"/>
    </w:rPr>
  </w:style>
  <w:style w:type="character" w:styleId="1200" w:customStyle="1">
    <w:name w:val="Абзац списка Знак"/>
    <w:link w:val="1229"/>
    <w:uiPriority w:val="34"/>
    <w:qFormat/>
    <w:pPr>
      <w:pBdr/>
      <w:spacing/>
      <w:ind/>
    </w:pPr>
    <w:rPr>
      <w:sz w:val="24"/>
      <w:szCs w:val="24"/>
    </w:rPr>
  </w:style>
  <w:style w:type="character" w:styleId="1201">
    <w:name w:val="Символ нумерации"/>
    <w:qFormat/>
    <w:pPr>
      <w:pBdr/>
      <w:spacing/>
      <w:ind/>
    </w:pPr>
    <w:rPr>
      <w:sz w:val="24"/>
      <w:szCs w:val="24"/>
    </w:rPr>
  </w:style>
  <w:style w:type="character" w:styleId="1202">
    <w:name w:val="Верхний колонтитул Знак"/>
    <w:basedOn w:val="1176"/>
    <w:qFormat/>
    <w:pPr>
      <w:pBdr/>
      <w:spacing/>
      <w:ind/>
    </w:pPr>
    <w:rPr>
      <w:sz w:val="28"/>
      <w:szCs w:val="28"/>
    </w:rPr>
  </w:style>
  <w:style w:type="character" w:styleId="1203">
    <w:name w:val="Заголовок 5 Знак"/>
    <w:basedOn w:val="1176"/>
    <w:qFormat/>
    <w:pPr>
      <w:pBdr/>
      <w:spacing/>
      <w:ind/>
    </w:pPr>
    <w:rPr>
      <w:rFonts w:ascii="Cambria" w:hAnsi="Cambria" w:eastAsia="Times New Roman" w:cs="Times New Roman"/>
      <w:color w:val="365f91"/>
      <w:sz w:val="28"/>
      <w:szCs w:val="28"/>
    </w:rPr>
  </w:style>
  <w:style w:type="character" w:styleId="1204">
    <w:name w:val="Основной текст 2 Знак"/>
    <w:qFormat/>
    <w:pPr>
      <w:pBdr/>
      <w:spacing/>
      <w:ind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1205">
    <w:name w:val="Footnote Characters"/>
    <w:qFormat/>
    <w:pPr>
      <w:pBdr/>
      <w:spacing/>
      <w:ind/>
    </w:pPr>
    <w:rPr>
      <w:rFonts w:ascii="Times New Roman" w:hAnsi="Times New Roman" w:eastAsia="Times New Roman" w:cs="Times New Roman"/>
      <w:color w:val="000000"/>
      <w:sz w:val="24"/>
      <w:vertAlign w:val="superscript"/>
    </w:rPr>
  </w:style>
  <w:style w:type="character" w:styleId="1206">
    <w:name w:val="page number"/>
    <w:qFormat/>
    <w:pPr>
      <w:pBdr/>
      <w:spacing/>
      <w:ind/>
    </w:pPr>
    <w:rPr>
      <w:color w:val="000000"/>
      <w:szCs w:val="24"/>
    </w:rPr>
  </w:style>
  <w:style w:type="character" w:styleId="1207">
    <w:name w:val="line number"/>
    <w:qFormat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1208">
    <w:name w:val="Strong1"/>
    <w:qFormat/>
    <w:pPr>
      <w:pBdr/>
      <w:spacing/>
      <w:ind/>
    </w:pPr>
    <w:rPr>
      <w:b/>
      <w:bCs/>
    </w:rPr>
  </w:style>
  <w:style w:type="character" w:styleId="1209">
    <w:name w:val="FollowedHyperlink"/>
    <w:pPr>
      <w:pBdr/>
      <w:spacing/>
      <w:ind/>
    </w:pPr>
    <w:rPr>
      <w:color w:val="800000"/>
      <w:u w:val="single"/>
    </w:rPr>
  </w:style>
  <w:style w:type="character" w:styleId="1210">
    <w:name w:val="Strong"/>
    <w:qFormat/>
    <w:pPr>
      <w:pBdr/>
      <w:spacing/>
      <w:ind/>
    </w:pPr>
    <w:rPr>
      <w:b/>
      <w:bCs/>
    </w:rPr>
  </w:style>
  <w:style w:type="paragraph" w:styleId="1211">
    <w:name w:val="Заголовок"/>
    <w:basedOn w:val="1171"/>
    <w:next w:val="1212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1212">
    <w:name w:val="Body Text"/>
    <w:basedOn w:val="1171"/>
    <w:pPr>
      <w:pBdr/>
      <w:spacing w:after="120" w:before="0"/>
      <w:ind/>
    </w:pPr>
  </w:style>
  <w:style w:type="paragraph" w:styleId="1213">
    <w:name w:val="List"/>
    <w:basedOn w:val="1212"/>
    <w:pPr>
      <w:pBdr/>
      <w:spacing/>
      <w:ind/>
    </w:pPr>
    <w:rPr>
      <w:rFonts w:cs="Lohit Devanagari"/>
    </w:rPr>
  </w:style>
  <w:style w:type="paragraph" w:styleId="1214">
    <w:name w:val="Caption"/>
    <w:basedOn w:val="1171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1215">
    <w:name w:val="Указатель"/>
    <w:basedOn w:val="1171"/>
    <w:qFormat/>
    <w:pPr>
      <w:suppressLineNumbers w:val="true"/>
      <w:pBdr/>
      <w:spacing/>
      <w:ind/>
    </w:pPr>
    <w:rPr>
      <w:rFonts w:cs="Lohit Devanagari"/>
    </w:rPr>
  </w:style>
  <w:style w:type="paragraph" w:styleId="1216">
    <w:name w:val="Body Text 3"/>
    <w:basedOn w:val="1171"/>
    <w:link w:val="1188"/>
    <w:qFormat/>
    <w:pPr>
      <w:pBdr/>
      <w:spacing w:line="240" w:lineRule="auto"/>
      <w:ind w:firstLine="0"/>
    </w:pPr>
    <w:rPr>
      <w:color w:val="0000ff"/>
      <w:sz w:val="24"/>
      <w:szCs w:val="24"/>
      <w:lang w:eastAsia="en-US"/>
    </w:rPr>
  </w:style>
  <w:style w:type="paragraph" w:styleId="1217">
    <w:name w:val="Колонтитул"/>
    <w:basedOn w:val="1171"/>
    <w:qFormat/>
    <w:pPr>
      <w:pBdr/>
      <w:spacing/>
      <w:ind/>
    </w:pPr>
  </w:style>
  <w:style w:type="paragraph" w:styleId="1218">
    <w:name w:val="Header"/>
    <w:basedOn w:val="1171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</w:style>
  <w:style w:type="paragraph" w:styleId="1219" w:customStyle="1">
    <w:name w:val="Style1"/>
    <w:basedOn w:val="1171"/>
    <w:qFormat/>
    <w:pPr>
      <w:pBdr/>
      <w:spacing w:after="0" w:before="240" w:line="240" w:lineRule="auto"/>
      <w:ind w:firstLine="0"/>
      <w:jc w:val="left"/>
    </w:pPr>
    <w:rPr>
      <w:b/>
      <w:sz w:val="22"/>
      <w:szCs w:val="20"/>
    </w:rPr>
  </w:style>
  <w:style w:type="paragraph" w:styleId="1220">
    <w:name w:val="Body Text 2"/>
    <w:basedOn w:val="1171"/>
    <w:qFormat/>
    <w:pPr>
      <w:widowControl w:val="false"/>
      <w:pBdr/>
      <w:spacing w:after="120" w:before="0" w:line="480" w:lineRule="auto"/>
      <w:ind w:firstLine="0"/>
      <w:jc w:val="left"/>
    </w:pPr>
    <w:rPr>
      <w:sz w:val="20"/>
      <w:szCs w:val="20"/>
    </w:rPr>
  </w:style>
  <w:style w:type="paragraph" w:styleId="1221" w:customStyle="1">
    <w:name w:val="Знак"/>
    <w:basedOn w:val="1171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22">
    <w:name w:val="footnote text"/>
    <w:basedOn w:val="1171"/>
    <w:link w:val="1194"/>
    <w:uiPriority w:val="99"/>
    <w:pPr>
      <w:pBdr/>
      <w:spacing w:line="240" w:lineRule="auto"/>
      <w:ind w:firstLine="0"/>
      <w:jc w:val="left"/>
    </w:pPr>
    <w:rPr>
      <w:sz w:val="20"/>
      <w:szCs w:val="20"/>
    </w:rPr>
  </w:style>
  <w:style w:type="paragraph" w:styleId="1223" w:customStyle="1">
    <w:name w:val="Знак Знак Знак Знак Знак Знак Знак"/>
    <w:basedOn w:val="1171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24" w:customStyle="1">
    <w:name w:val="Знак2"/>
    <w:basedOn w:val="1171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25" w:customStyle="1">
    <w:name w:val="Знак Знак Знак Знак Знак Знак Знак Знак Знак"/>
    <w:basedOn w:val="1171"/>
    <w:qFormat/>
    <w:pPr>
      <w:pBdr/>
      <w:spacing w:after="160" w:before="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styleId="1226" w:customStyle="1">
    <w:name w:val="Пункт договора"/>
    <w:basedOn w:val="1171"/>
    <w:qFormat/>
    <w:pPr>
      <w:widowControl w:val="false"/>
      <w:pBdr/>
      <w:spacing w:line="240" w:lineRule="auto"/>
      <w:ind w:firstLine="0"/>
    </w:pPr>
    <w:rPr>
      <w:rFonts w:ascii="Arial" w:hAnsi="Arial"/>
      <w:sz w:val="20"/>
      <w:szCs w:val="20"/>
    </w:rPr>
  </w:style>
  <w:style w:type="paragraph" w:styleId="1227" w:customStyle="1">
    <w:name w:val="Подпункт договора"/>
    <w:basedOn w:val="1171"/>
    <w:qFormat/>
    <w:pPr>
      <w:pBdr/>
      <w:tabs>
        <w:tab w:val="left" w:leader="none" w:pos="360"/>
        <w:tab w:val="clear" w:leader="none" w:pos="708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1228">
    <w:name w:val="Body Text Indent 3"/>
    <w:basedOn w:val="1171"/>
    <w:qFormat/>
    <w:pPr>
      <w:pBdr/>
      <w:spacing w:after="120" w:before="0"/>
      <w:ind w:firstLine="567" w:left="283"/>
    </w:pPr>
    <w:rPr>
      <w:sz w:val="16"/>
      <w:szCs w:val="16"/>
    </w:rPr>
  </w:style>
  <w:style w:type="paragraph" w:styleId="1229">
    <w:name w:val="List Paragraph"/>
    <w:basedOn w:val="1171"/>
    <w:link w:val="1200"/>
    <w:uiPriority w:val="34"/>
    <w:qFormat/>
    <w:pPr>
      <w:pBdr/>
      <w:spacing w:after="0" w:before="0" w:line="240" w:lineRule="auto"/>
      <w:ind w:firstLine="0" w:left="720"/>
      <w:contextualSpacing w:val="true"/>
      <w:jc w:val="left"/>
    </w:pPr>
    <w:rPr>
      <w:sz w:val="24"/>
      <w:szCs w:val="24"/>
    </w:rPr>
  </w:style>
  <w:style w:type="paragraph" w:styleId="1230" w:customStyle="1">
    <w:name w:val="1. Статья"/>
    <w:basedOn w:val="1174"/>
    <w:link w:val="1182"/>
    <w:qFormat/>
    <w:pPr>
      <w:keepNext w:val="false"/>
      <w:widowControl w:val="false"/>
      <w:numPr>
        <w:ilvl w:val="0"/>
        <w:numId w:val="2"/>
      </w:numPr>
      <w:pBdr/>
      <w:tabs>
        <w:tab w:val="clear" w:leader="none" w:pos="708"/>
        <w:tab w:val="left" w:leader="none" w:pos="2340"/>
      </w:tabs>
      <w:spacing w:after="0" w:before="0"/>
      <w:ind w:right="1462" w:firstLine="0"/>
      <w:jc w:val="center"/>
    </w:pPr>
    <w:rPr>
      <w:b w:val="0"/>
      <w:sz w:val="24"/>
      <w:szCs w:val="24"/>
    </w:rPr>
  </w:style>
  <w:style w:type="paragraph" w:styleId="1231" w:customStyle="1">
    <w:name w:val="2. Пункт"/>
    <w:basedOn w:val="1174"/>
    <w:qFormat/>
    <w:pPr>
      <w:keepNext w:val="false"/>
      <w:widowControl w:val="false"/>
      <w:numPr>
        <w:ilvl w:val="1"/>
        <w:numId w:val="2"/>
      </w:numPr>
      <w:pBdr/>
      <w:spacing w:after="0" w:before="0"/>
      <w:ind/>
      <w:jc w:val="both"/>
    </w:pPr>
    <w:rPr>
      <w:b w:val="0"/>
      <w:sz w:val="24"/>
      <w:szCs w:val="24"/>
    </w:rPr>
  </w:style>
  <w:style w:type="paragraph" w:styleId="1232" w:customStyle="1">
    <w:name w:val="3. Подпункт"/>
    <w:basedOn w:val="1174"/>
    <w:link w:val="1180"/>
    <w:qFormat/>
    <w:pPr>
      <w:keepNext w:val="false"/>
      <w:widowControl w:val="false"/>
      <w:numPr>
        <w:ilvl w:val="2"/>
        <w:numId w:val="2"/>
      </w:numPr>
      <w:pBdr/>
      <w:tabs>
        <w:tab w:val="clear" w:leader="none" w:pos="708"/>
        <w:tab w:val="left" w:leader="none" w:pos="1620"/>
      </w:tabs>
      <w:spacing w:after="0" w:before="0"/>
      <w:ind/>
      <w:jc w:val="both"/>
    </w:pPr>
    <w:rPr>
      <w:bCs/>
      <w:sz w:val="24"/>
      <w:szCs w:val="24"/>
    </w:rPr>
  </w:style>
  <w:style w:type="paragraph" w:styleId="1233" w:customStyle="1">
    <w:name w:val="ConsNormal"/>
    <w:qFormat/>
    <w:pPr>
      <w:widowControl w:val="true"/>
      <w:pBdr/>
      <w:bidi w:val="false"/>
      <w:spacing w:after="0" w:before="0"/>
      <w:ind w:right="19772" w:firstLine="720"/>
      <w:jc w:val="left"/>
    </w:pPr>
    <w:rPr>
      <w:rFonts w:ascii="Arial" w:hAnsi="Arial" w:eastAsia="Times New Roman" w:cs="Times New Roman"/>
      <w:color w:val="auto"/>
      <w:sz w:val="32"/>
      <w:szCs w:val="20"/>
      <w:lang w:val="ru-RU" w:eastAsia="en-US" w:bidi="ar-SA"/>
    </w:rPr>
  </w:style>
  <w:style w:type="paragraph" w:styleId="1234">
    <w:name w:val="Balloon Text"/>
    <w:basedOn w:val="1171"/>
    <w:link w:val="1181"/>
    <w:qFormat/>
    <w:pPr>
      <w:pBdr/>
      <w:spacing w:line="240" w:lineRule="auto"/>
      <w:ind/>
    </w:pPr>
    <w:rPr>
      <w:rFonts w:ascii="Tahoma" w:hAnsi="Tahoma"/>
      <w:sz w:val="16"/>
      <w:szCs w:val="16"/>
    </w:rPr>
  </w:style>
  <w:style w:type="paragraph" w:styleId="1235" w:customStyle="1">
    <w:name w:val="4. Отчерк"/>
    <w:basedOn w:val="1171"/>
    <w:link w:val="1183"/>
    <w:qFormat/>
    <w:pPr>
      <w:widowControl w:val="false"/>
      <w:numPr>
        <w:ilvl w:val="0"/>
        <w:numId w:val="3"/>
      </w:numPr>
      <w:pBdr/>
      <w:spacing w:line="240" w:lineRule="auto"/>
      <w:ind/>
    </w:pPr>
    <w:rPr>
      <w:sz w:val="24"/>
      <w:szCs w:val="24"/>
    </w:rPr>
  </w:style>
  <w:style w:type="paragraph" w:styleId="1236">
    <w:name w:val="annotation text"/>
    <w:basedOn w:val="1171"/>
    <w:link w:val="1185"/>
    <w:qFormat/>
    <w:pPr>
      <w:pBdr/>
      <w:spacing w:line="240" w:lineRule="auto"/>
      <w:ind/>
    </w:pPr>
    <w:rPr>
      <w:sz w:val="20"/>
      <w:szCs w:val="20"/>
    </w:rPr>
  </w:style>
  <w:style w:type="paragraph" w:styleId="1237">
    <w:name w:val="annotation subject"/>
    <w:basedOn w:val="1236"/>
    <w:next w:val="1236"/>
    <w:link w:val="1186"/>
    <w:qFormat/>
    <w:pPr>
      <w:pBdr/>
      <w:spacing/>
      <w:ind/>
    </w:pPr>
    <w:rPr>
      <w:b/>
      <w:bCs/>
    </w:rPr>
  </w:style>
  <w:style w:type="paragraph" w:styleId="1238">
    <w:name w:val="Footer"/>
    <w:basedOn w:val="1171"/>
    <w:link w:val="1187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 w:line="240" w:lineRule="auto"/>
      <w:ind/>
    </w:pPr>
  </w:style>
  <w:style w:type="paragraph" w:styleId="1239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240" w:customStyle="1">
    <w:name w:val="Title"/>
    <w:basedOn w:val="1171"/>
    <w:link w:val="1189"/>
    <w:qFormat/>
    <w:pPr>
      <w:widowControl w:val="false"/>
      <w:pBdr/>
      <w:spacing w:after="120" w:before="0" w:line="240" w:lineRule="auto"/>
      <w:ind w:firstLine="0"/>
      <w:jc w:val="center"/>
    </w:pPr>
    <w:rPr>
      <w:b/>
      <w:bCs/>
      <w:sz w:val="32"/>
      <w:szCs w:val="20"/>
    </w:rPr>
  </w:style>
  <w:style w:type="paragraph" w:styleId="1241">
    <w:name w:val="Body Text Indent"/>
    <w:basedOn w:val="1171"/>
    <w:link w:val="1192"/>
    <w:pPr>
      <w:pBdr/>
      <w:spacing w:after="120" w:before="0"/>
      <w:ind w:firstLine="567" w:left="283"/>
    </w:pPr>
  </w:style>
  <w:style w:type="paragraph" w:styleId="1242" w:customStyle="1">
    <w:name w:val="Пункт 3.3.3"/>
    <w:basedOn w:val="1171"/>
    <w:qFormat/>
    <w:pPr>
      <w:keepNext w:val="true"/>
      <w:keepLines w:val="true"/>
      <w:widowControl w:val="false"/>
      <w:pBdr/>
      <w:tabs>
        <w:tab w:val="clear" w:leader="none" w:pos="708"/>
        <w:tab w:val="left" w:leader="none" w:pos="920"/>
      </w:tabs>
      <w:spacing w:after="240" w:before="240" w:line="240" w:lineRule="auto"/>
      <w:ind w:hanging="504" w:left="704"/>
      <w:jc w:val="left"/>
      <w:outlineLvl w:val="1"/>
    </w:pPr>
    <w:rPr>
      <w:sz w:val="24"/>
      <w:szCs w:val="20"/>
    </w:rPr>
  </w:style>
  <w:style w:type="paragraph" w:styleId="1243">
    <w:name w:val="caption1"/>
    <w:basedOn w:val="1171"/>
    <w:next w:val="1171"/>
    <w:qFormat/>
    <w:pPr>
      <w:widowControl w:val="false"/>
      <w:pBdr/>
      <w:spacing w:after="120" w:before="120" w:line="240" w:lineRule="auto"/>
      <w:ind w:firstLine="0"/>
    </w:pPr>
    <w:rPr>
      <w:b/>
      <w:bCs/>
      <w:sz w:val="24"/>
      <w:szCs w:val="24"/>
    </w:rPr>
  </w:style>
  <w:style w:type="paragraph" w:styleId="1244" w:customStyle="1">
    <w:name w:val="Знак1"/>
    <w:basedOn w:val="1171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45" w:customStyle="1">
    <w:name w:val="Контракт-раздел"/>
    <w:basedOn w:val="1171"/>
    <w:qFormat/>
    <w:pPr>
      <w:keepNext w:val="true"/>
      <w:keepLines w:val="true"/>
      <w:numPr>
        <w:ilvl w:val="0"/>
        <w:numId w:val="5"/>
      </w:numPr>
      <w:pBdr/>
      <w:tabs>
        <w:tab w:val="left" w:leader="none" w:pos="0"/>
        <w:tab w:val="left" w:leader="none" w:pos="567"/>
        <w:tab w:val="clear" w:leader="none" w:pos="708"/>
      </w:tabs>
      <w:spacing w:after="120" w:before="360" w:line="240" w:lineRule="auto"/>
      <w:ind/>
      <w:jc w:val="center"/>
      <w:outlineLvl w:val="1"/>
    </w:pPr>
    <w:rPr>
      <w:b/>
      <w:bCs/>
      <w:caps/>
    </w:rPr>
  </w:style>
  <w:style w:type="paragraph" w:styleId="1246" w:customStyle="1">
    <w:name w:val="Контракт-пункт"/>
    <w:basedOn w:val="1171"/>
    <w:qFormat/>
    <w:pPr>
      <w:numPr>
        <w:ilvl w:val="1"/>
        <w:numId w:val="5"/>
      </w:numPr>
      <w:pBdr/>
      <w:spacing/>
      <w:ind/>
    </w:pPr>
  </w:style>
  <w:style w:type="paragraph" w:styleId="1247" w:customStyle="1">
    <w:name w:val="Контракт-подпункт"/>
    <w:basedOn w:val="1171"/>
    <w:qFormat/>
    <w:pPr>
      <w:numPr>
        <w:ilvl w:val="2"/>
        <w:numId w:val="5"/>
      </w:numPr>
      <w:pBdr/>
      <w:spacing/>
      <w:ind/>
    </w:pPr>
  </w:style>
  <w:style w:type="paragraph" w:styleId="1248" w:customStyle="1">
    <w:name w:val="Контракт-подподпункт"/>
    <w:basedOn w:val="1171"/>
    <w:qFormat/>
    <w:pPr>
      <w:numPr>
        <w:ilvl w:val="3"/>
        <w:numId w:val="5"/>
      </w:numPr>
      <w:pBdr/>
      <w:spacing/>
      <w:ind/>
    </w:pPr>
  </w:style>
  <w:style w:type="paragraph" w:styleId="1249">
    <w:name w:val="endnote text"/>
    <w:basedOn w:val="1171"/>
    <w:link w:val="1196"/>
    <w:uiPriority w:val="99"/>
    <w:semiHidden/>
    <w:unhideWhenUsed/>
    <w:pPr>
      <w:pBdr/>
      <w:spacing/>
      <w:ind/>
    </w:pPr>
    <w:rPr>
      <w:sz w:val="20"/>
      <w:szCs w:val="20"/>
    </w:rPr>
  </w:style>
  <w:style w:type="paragraph" w:styleId="1250">
    <w:name w:val="Plain Text"/>
    <w:basedOn w:val="1171"/>
    <w:link w:val="1199"/>
    <w:uiPriority w:val="99"/>
    <w:semiHidden/>
    <w:unhideWhenUsed/>
    <w:qFormat/>
    <w:pPr>
      <w:pBdr/>
      <w:spacing w:line="240" w:lineRule="auto"/>
      <w:ind w:firstLine="0"/>
      <w:jc w:val="left"/>
    </w:pPr>
    <w:rPr>
      <w:rFonts w:ascii="Calibri" w:hAnsi="Calibri" w:eastAsia="Calibri"/>
      <w:sz w:val="22"/>
      <w:szCs w:val="21"/>
      <w:lang w:eastAsia="en-US"/>
    </w:rPr>
  </w:style>
  <w:style w:type="paragraph" w:styleId="1251">
    <w:name w:val="Содержимое таблицы"/>
    <w:basedOn w:val="1171"/>
    <w:qFormat/>
    <w:pPr>
      <w:widowControl w:val="false"/>
      <w:suppressLineNumbers w:val="true"/>
      <w:pBdr/>
      <w:spacing/>
      <w:ind/>
    </w:pPr>
  </w:style>
  <w:style w:type="paragraph" w:styleId="1252">
    <w:name w:val="Заголовок таблицы"/>
    <w:basedOn w:val="1251"/>
    <w:qFormat/>
    <w:pPr>
      <w:suppressLineNumbers w:val="true"/>
      <w:pBdr/>
      <w:spacing/>
      <w:ind/>
      <w:jc w:val="center"/>
    </w:pPr>
    <w:rPr>
      <w:b/>
      <w:bCs/>
    </w:rPr>
  </w:style>
  <w:style w:type="paragraph" w:styleId="1253">
    <w:name w:val="List Number"/>
    <w:basedOn w:val="1171"/>
    <w:qFormat/>
    <w:pPr>
      <w:numPr>
        <w:ilvl w:val="0"/>
        <w:numId w:val="30"/>
      </w:numPr>
      <w:pBdr/>
      <w:spacing w:line="240" w:lineRule="auto"/>
      <w:ind/>
      <w:jc w:val="left"/>
    </w:pPr>
    <w:rPr>
      <w:rFonts w:ascii="Geneva CY" w:hAnsi="Geneva CY" w:eastAsia="Geneva"/>
      <w:sz w:val="24"/>
      <w:szCs w:val="20"/>
      <w:lang w:eastAsia="en-US"/>
    </w:rPr>
  </w:style>
  <w:style w:type="paragraph" w:styleId="1254">
    <w:name w:val="msolistparagraph"/>
    <w:basedOn w:val="1171"/>
    <w:qFormat/>
    <w:pPr>
      <w:pBdr/>
      <w:spacing w:after="0" w:before="0"/>
      <w:ind w:right="0" w:firstLine="567" w:left="720"/>
      <w:contextualSpacing w:val="true"/>
    </w:pPr>
    <w:rPr>
      <w:sz w:val="28"/>
    </w:rPr>
  </w:style>
  <w:style w:type="paragraph" w:styleId="1255">
    <w:name w:val="index heading"/>
    <w:basedOn w:val="1171"/>
    <w:qFormat/>
    <w:pPr>
      <w:pBdr/>
      <w:spacing/>
      <w:ind/>
    </w:pPr>
    <w:rPr>
      <w:rFonts w:cs="Mangal"/>
    </w:rPr>
  </w:style>
  <w:style w:type="paragraph" w:styleId="1256">
    <w:name w:val="Содержимое списка"/>
    <w:basedOn w:val="1171"/>
    <w:qFormat/>
    <w:pPr>
      <w:pBdr/>
      <w:spacing/>
      <w:ind w:right="0" w:firstLine="567" w:left="567"/>
    </w:pPr>
  </w:style>
  <w:style w:type="paragraph" w:styleId="1257">
    <w:name w:val="ConsPlusNonformat"/>
    <w:qFormat/>
    <w:pPr>
      <w:widowControl w:val="false"/>
      <w:pBdr/>
      <w:bidi w:val="false"/>
      <w:spacing w:after="0" w:before="0"/>
      <w:ind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numbering" w:styleId="1258" w:default="1">
    <w:name w:val="No List"/>
    <w:uiPriority w:val="99"/>
    <w:semiHidden/>
    <w:unhideWhenUsed/>
    <w:qFormat/>
    <w:pPr>
      <w:pBdr/>
      <w:spacing/>
      <w:ind/>
    </w:pPr>
  </w:style>
  <w:style w:type="table" w:styleId="1259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0">
    <w:name w:val="Table Grid"/>
    <w:basedOn w:val="1259"/>
    <w:pPr>
      <w:pBdr/>
      <w:spacing w:line="360" w:lineRule="auto"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customXml" Target="../customXml/item2.xml" /><Relationship Id="rId22" Type="http://schemas.openxmlformats.org/officeDocument/2006/relationships/customXml" Target="../customXml/item3.xml" /><Relationship Id="rId23" Type="http://schemas.openxmlformats.org/officeDocument/2006/relationships/customXml" Target="../customXml/item4.xml" /><Relationship Id="rId24" Type="http://schemas.openxmlformats.org/officeDocument/2006/relationships/customXml" Target="../customXml/item5.xml" /><Relationship Id="rId25" Type="http://schemas.openxmlformats.org/officeDocument/2006/relationships/hyperlink" Target="consultantplus://offline/ref=94D5CE8889791A29DE57299515463A9D6134D8237B999C803E6F853513x2A2P" TargetMode="External"/><Relationship Id="rId26" Type="http://schemas.openxmlformats.org/officeDocument/2006/relationships/hyperlink" Target="consultantplus://offline/ref=94D5CE8889791A29DE57299515463A9D6135D2287D929C803E6F853513x2A2P" TargetMode="External"/><Relationship Id="rId27" Type="http://schemas.openxmlformats.org/officeDocument/2006/relationships/hyperlink" Target="consultantplus://offline/ref=79440D5123ABA6A25F43346AB59DBAAC7032C8E1556DA64FAED62E167F76889C2B7C475C32EFC59BJ8rDH" TargetMode="External"/><Relationship Id="rId28" Type="http://schemas.openxmlformats.org/officeDocument/2006/relationships/hyperlink" Target="mailto:mail@sakhaenerg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F4FE71-90AE-421A-A870-05A4432E81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DBFFFF-9D70-40A9-AD6F-3023A7735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dc:language>ru-RU</dc:language>
  <cp:revision>38</cp:revision>
  <dcterms:created xsi:type="dcterms:W3CDTF">2023-06-13T10:58:00Z</dcterms:created>
  <dcterms:modified xsi:type="dcterms:W3CDTF">2026-07-31T00:40:03Z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